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E4" w:rsidRPr="003627E4" w:rsidRDefault="003627E4" w:rsidP="003627E4">
      <w:pPr>
        <w:spacing w:before="401" w:after="401" w:line="480" w:lineRule="auto"/>
        <w:textAlignment w:val="baseline"/>
        <w:outlineLvl w:val="1"/>
        <w:rPr>
          <w:rFonts w:ascii="Tahoma" w:eastAsia="Times New Roman" w:hAnsi="Tahoma" w:cs="Tahoma"/>
          <w:b/>
          <w:bCs/>
          <w:color w:val="01548A"/>
          <w:kern w:val="36"/>
          <w:sz w:val="40"/>
          <w:szCs w:val="40"/>
        </w:rPr>
      </w:pPr>
      <w:bookmarkStart w:id="0" w:name="_GoBack"/>
      <w:r w:rsidRPr="003627E4">
        <w:rPr>
          <w:rFonts w:ascii="Tahoma" w:eastAsia="Times New Roman" w:hAnsi="Tahoma" w:cs="Tahoma"/>
          <w:b/>
          <w:bCs/>
          <w:color w:val="01548A"/>
          <w:kern w:val="36"/>
          <w:sz w:val="40"/>
          <w:szCs w:val="40"/>
        </w:rPr>
        <w:t xml:space="preserve">International tax reforms with flexible prices </w:t>
      </w:r>
    </w:p>
    <w:p w:rsidR="003627E4" w:rsidRPr="003627E4" w:rsidRDefault="003627E4" w:rsidP="003627E4">
      <w:pPr>
        <w:spacing w:after="0" w:line="480" w:lineRule="auto"/>
        <w:textAlignment w:val="baseline"/>
        <w:rPr>
          <w:rFonts w:ascii="Arial" w:eastAsia="Times New Roman" w:hAnsi="Arial" w:cs="Arial"/>
          <w:color w:val="000000"/>
        </w:rPr>
      </w:pPr>
      <w:r w:rsidRPr="003627E4">
        <w:rPr>
          <w:rFonts w:ascii="Arial" w:eastAsia="Times New Roman" w:hAnsi="Arial" w:cs="Arial"/>
          <w:b/>
          <w:bCs/>
          <w:color w:val="000000"/>
          <w:bdr w:val="none" w:sz="0" w:space="0" w:color="auto" w:frame="1"/>
        </w:rPr>
        <w:t>Assaf Razin, Efraim Sadka</w:t>
      </w:r>
      <w:r w:rsidRPr="003627E4">
        <w:rPr>
          <w:rFonts w:ascii="Arial" w:eastAsia="Times New Roman" w:hAnsi="Arial" w:cs="Arial"/>
          <w:color w:val="000000"/>
          <w:bdr w:val="none" w:sz="0" w:space="0" w:color="auto" w:frame="1"/>
        </w:rPr>
        <w:t xml:space="preserve"> 18 December 2017 </w:t>
      </w:r>
    </w:p>
    <w:p w:rsidR="003627E4" w:rsidRPr="003627E4" w:rsidRDefault="003627E4" w:rsidP="003627E4">
      <w:pPr>
        <w:spacing w:before="216" w:after="216" w:line="480" w:lineRule="auto"/>
        <w:textAlignment w:val="baseline"/>
        <w:rPr>
          <w:rFonts w:ascii="Arial" w:eastAsia="Times New Roman" w:hAnsi="Arial" w:cs="Arial"/>
          <w:i/>
          <w:iCs/>
          <w:color w:val="000000"/>
        </w:rPr>
      </w:pPr>
      <w:r w:rsidRPr="003627E4">
        <w:rPr>
          <w:rFonts w:ascii="Arial" w:eastAsia="Times New Roman" w:hAnsi="Arial" w:cs="Arial"/>
          <w:i/>
          <w:iCs/>
          <w:color w:val="000000"/>
        </w:rPr>
        <w:t xml:space="preserve">The ongoing advance of </w:t>
      </w:r>
      <w:proofErr w:type="spellStart"/>
      <w:r w:rsidRPr="003627E4">
        <w:rPr>
          <w:rFonts w:ascii="Arial" w:eastAsia="Times New Roman" w:hAnsi="Arial" w:cs="Arial"/>
          <w:i/>
          <w:iCs/>
          <w:color w:val="000000"/>
        </w:rPr>
        <w:t>globalisation</w:t>
      </w:r>
      <w:proofErr w:type="spellEnd"/>
      <w:r w:rsidRPr="003627E4">
        <w:rPr>
          <w:rFonts w:ascii="Arial" w:eastAsia="Times New Roman" w:hAnsi="Arial" w:cs="Arial"/>
          <w:i/>
          <w:iCs/>
          <w:color w:val="000000"/>
        </w:rPr>
        <w:t xml:space="preserve"> has created a genuine need for international tax reforms. This column explores potential reforms and their likely effects, using a model with flexible prices. Residence-based income taxation </w:t>
      </w:r>
      <w:proofErr w:type="gramStart"/>
      <w:r w:rsidRPr="003627E4">
        <w:rPr>
          <w:rFonts w:ascii="Arial" w:eastAsia="Times New Roman" w:hAnsi="Arial" w:cs="Arial"/>
          <w:i/>
          <w:iCs/>
          <w:color w:val="000000"/>
        </w:rPr>
        <w:t>is shown</w:t>
      </w:r>
      <w:proofErr w:type="gramEnd"/>
      <w:r w:rsidRPr="003627E4">
        <w:rPr>
          <w:rFonts w:ascii="Arial" w:eastAsia="Times New Roman" w:hAnsi="Arial" w:cs="Arial"/>
          <w:i/>
          <w:iCs/>
          <w:color w:val="000000"/>
        </w:rPr>
        <w:t xml:space="preserve"> to have welfare advantages over source-based taxation, though at the cost of a larger trade deficit. Non-transitory border taxes </w:t>
      </w:r>
      <w:proofErr w:type="gramStart"/>
      <w:r w:rsidRPr="003627E4">
        <w:rPr>
          <w:rFonts w:ascii="Arial" w:eastAsia="Times New Roman" w:hAnsi="Arial" w:cs="Arial"/>
          <w:i/>
          <w:iCs/>
          <w:color w:val="000000"/>
        </w:rPr>
        <w:t>are shown</w:t>
      </w:r>
      <w:proofErr w:type="gramEnd"/>
      <w:r w:rsidRPr="003627E4">
        <w:rPr>
          <w:rFonts w:ascii="Arial" w:eastAsia="Times New Roman" w:hAnsi="Arial" w:cs="Arial"/>
          <w:i/>
          <w:iCs/>
          <w:color w:val="000000"/>
        </w:rPr>
        <w:t xml:space="preserve"> to be ineffective at reducing this deficit.</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The growing and continuous spread of globali</w:t>
      </w:r>
      <w:r>
        <w:rPr>
          <w:rFonts w:ascii="Arial" w:eastAsia="Times New Roman" w:hAnsi="Arial" w:cs="Arial"/>
          <w:color w:val="000000"/>
          <w:sz w:val="24"/>
          <w:szCs w:val="24"/>
        </w:rPr>
        <w:t>z</w:t>
      </w:r>
      <w:r w:rsidRPr="003627E4">
        <w:rPr>
          <w:rFonts w:ascii="Arial" w:eastAsia="Times New Roman" w:hAnsi="Arial" w:cs="Arial"/>
          <w:color w:val="000000"/>
          <w:sz w:val="24"/>
          <w:szCs w:val="24"/>
        </w:rPr>
        <w:t>ation inevitably triggers a process of international tax reforms. One important aspect in this context is border tax adjustments. The latter have received even wider attention in view of recent proposals for tax reforms in the US.</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Reforms typically aim at a long-run restructuring of the economic landscape. </w:t>
      </w:r>
      <w:proofErr w:type="gramStart"/>
      <w:r w:rsidRPr="003627E4">
        <w:rPr>
          <w:rFonts w:ascii="Arial" w:eastAsia="Times New Roman" w:hAnsi="Arial" w:cs="Arial"/>
          <w:color w:val="000000"/>
          <w:sz w:val="24"/>
          <w:szCs w:val="24"/>
        </w:rPr>
        <w:t>Thus</w:t>
      </w:r>
      <w:proofErr w:type="gramEnd"/>
      <w:r w:rsidRPr="003627E4">
        <w:rPr>
          <w:rFonts w:ascii="Arial" w:eastAsia="Times New Roman" w:hAnsi="Arial" w:cs="Arial"/>
          <w:color w:val="000000"/>
          <w:sz w:val="24"/>
          <w:szCs w:val="24"/>
        </w:rPr>
        <w:t xml:space="preserve"> it is useful to </w:t>
      </w:r>
      <w:proofErr w:type="spellStart"/>
      <w:r w:rsidRPr="003627E4">
        <w:rPr>
          <w:rFonts w:ascii="Arial" w:eastAsia="Times New Roman" w:hAnsi="Arial" w:cs="Arial"/>
          <w:color w:val="000000"/>
          <w:sz w:val="24"/>
          <w:szCs w:val="24"/>
        </w:rPr>
        <w:t>analyse</w:t>
      </w:r>
      <w:proofErr w:type="spellEnd"/>
      <w:r w:rsidRPr="003627E4">
        <w:rPr>
          <w:rFonts w:ascii="Arial" w:eastAsia="Times New Roman" w:hAnsi="Arial" w:cs="Arial"/>
          <w:color w:val="000000"/>
          <w:sz w:val="24"/>
          <w:szCs w:val="24"/>
        </w:rPr>
        <w:t xml:space="preserve"> them in a long-run setup, which ensues flexible rather than sticky prices.</w:t>
      </w:r>
      <w:r w:rsidRPr="003627E4">
        <w:rPr>
          <w:rFonts w:ascii="Arial" w:eastAsia="Times New Roman" w:hAnsi="Arial" w:cs="Arial"/>
          <w:color w:val="000000"/>
          <w:sz w:val="24"/>
          <w:szCs w:val="24"/>
          <w:bdr w:val="none" w:sz="0" w:space="0" w:color="auto" w:frame="1"/>
          <w:vertAlign w:val="superscript"/>
        </w:rPr>
        <w:t>1</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Typically, tax reforms have both efficiency and distribution implications. Nevertheless, the latter are not in the forefront of the issues we consider here. As is common in the literature, we simplify by considering a representative consumer.</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In this column, we </w:t>
      </w:r>
      <w:proofErr w:type="spellStart"/>
      <w:r w:rsidRPr="003627E4">
        <w:rPr>
          <w:rFonts w:ascii="Arial" w:eastAsia="Times New Roman" w:hAnsi="Arial" w:cs="Arial"/>
          <w:color w:val="000000"/>
          <w:sz w:val="24"/>
          <w:szCs w:val="24"/>
        </w:rPr>
        <w:t>analyse</w:t>
      </w:r>
      <w:proofErr w:type="spellEnd"/>
      <w:r w:rsidRPr="003627E4">
        <w:rPr>
          <w:rFonts w:ascii="Arial" w:eastAsia="Times New Roman" w:hAnsi="Arial" w:cs="Arial"/>
          <w:color w:val="000000"/>
          <w:sz w:val="24"/>
          <w:szCs w:val="24"/>
        </w:rPr>
        <w:t xml:space="preserve"> the implications of border tax adjustments in the income tax and of a shift from source-based to residence-based international income taxation, </w:t>
      </w:r>
      <w:r w:rsidRPr="003627E4">
        <w:rPr>
          <w:rFonts w:ascii="Arial" w:eastAsia="Times New Roman" w:hAnsi="Arial" w:cs="Arial"/>
          <w:color w:val="000000"/>
          <w:sz w:val="24"/>
          <w:szCs w:val="24"/>
        </w:rPr>
        <w:lastRenderedPageBreak/>
        <w:t>paying special attention to individual welfare and to the trade balance. In addition, we re-examine the effectiveness of border taxes as a means to reducing trade deficits.</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Income taxation and border-tax adjustment</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Border tax adjustments of income tax have received increasing public and scholarly attention since the introduction of the US House Republican tax plan in June 2016. </w:t>
      </w:r>
      <w:proofErr w:type="gramStart"/>
      <w:r w:rsidRPr="003627E4">
        <w:rPr>
          <w:rFonts w:ascii="Arial" w:eastAsia="Times New Roman" w:hAnsi="Arial" w:cs="Arial"/>
          <w:color w:val="000000"/>
          <w:sz w:val="24"/>
          <w:szCs w:val="24"/>
        </w:rPr>
        <w:t>In addition to replacing the ordinary corporate income tax with a cash-flow tax, it also proposed to introduce border tax adjustments (à la VAT) according to which expenditures on imports are not deductible from taxable income, and export revenues are exempted.</w:t>
      </w:r>
      <w:r w:rsidRPr="003627E4">
        <w:rPr>
          <w:rFonts w:ascii="Arial" w:eastAsia="Times New Roman" w:hAnsi="Arial" w:cs="Arial"/>
          <w:color w:val="000000"/>
          <w:sz w:val="24"/>
          <w:szCs w:val="24"/>
          <w:bdr w:val="none" w:sz="0" w:space="0" w:color="auto" w:frame="1"/>
          <w:vertAlign w:val="superscript"/>
        </w:rPr>
        <w:t>2</w:t>
      </w:r>
      <w:r w:rsidRPr="003627E4">
        <w:rPr>
          <w:rFonts w:ascii="Arial" w:eastAsia="Times New Roman" w:hAnsi="Arial" w:cs="Arial"/>
          <w:color w:val="000000"/>
          <w:sz w:val="24"/>
          <w:szCs w:val="24"/>
        </w:rPr>
        <w:t xml:space="preserve"> We focus on the border tax adjustments components of the plan and </w:t>
      </w:r>
      <w:proofErr w:type="spellStart"/>
      <w:r w:rsidRPr="003627E4">
        <w:rPr>
          <w:rFonts w:ascii="Arial" w:eastAsia="Times New Roman" w:hAnsi="Arial" w:cs="Arial"/>
          <w:color w:val="000000"/>
          <w:sz w:val="24"/>
          <w:szCs w:val="24"/>
        </w:rPr>
        <w:t>analyse</w:t>
      </w:r>
      <w:proofErr w:type="spellEnd"/>
      <w:r w:rsidRPr="003627E4">
        <w:rPr>
          <w:rFonts w:ascii="Arial" w:eastAsia="Times New Roman" w:hAnsi="Arial" w:cs="Arial"/>
          <w:color w:val="000000"/>
          <w:sz w:val="24"/>
          <w:szCs w:val="24"/>
        </w:rPr>
        <w:t xml:space="preserve"> their implications for the real exchange rate.</w:t>
      </w:r>
      <w:proofErr w:type="gramEnd"/>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Consider a minimal </w:t>
      </w:r>
      <w:proofErr w:type="spellStart"/>
      <w:r w:rsidRPr="003627E4">
        <w:rPr>
          <w:rFonts w:ascii="Arial" w:eastAsia="Times New Roman" w:hAnsi="Arial" w:cs="Arial"/>
          <w:color w:val="000000"/>
          <w:sz w:val="24"/>
          <w:szCs w:val="24"/>
        </w:rPr>
        <w:t>Fisherian</w:t>
      </w:r>
      <w:proofErr w:type="spellEnd"/>
      <w:r w:rsidRPr="003627E4">
        <w:rPr>
          <w:rFonts w:ascii="Arial" w:eastAsia="Times New Roman" w:hAnsi="Arial" w:cs="Arial"/>
          <w:color w:val="000000"/>
          <w:sz w:val="24"/>
          <w:szCs w:val="24"/>
        </w:rPr>
        <w:t xml:space="preserve"> model that can serve to highlight our arguments and conclusions. Suppose there are only two periods and one composite, tradable good that can serve for present consumption (</w:t>
      </w:r>
      <w:r w:rsidRPr="003627E4">
        <w:rPr>
          <w:rFonts w:ascii="Arial" w:eastAsia="Times New Roman" w:hAnsi="Arial" w:cs="Arial"/>
          <w:i/>
          <w:iCs/>
          <w:color w:val="000000"/>
          <w:sz w:val="24"/>
          <w:szCs w:val="24"/>
          <w:bdr w:val="none" w:sz="0" w:space="0" w:color="auto" w:frame="1"/>
        </w:rPr>
        <w:t>c</w:t>
      </w:r>
      <w:r w:rsidRPr="003627E4">
        <w:rPr>
          <w:rFonts w:ascii="Arial" w:eastAsia="Times New Roman" w:hAnsi="Arial" w:cs="Arial"/>
          <w:color w:val="000000"/>
          <w:sz w:val="24"/>
          <w:szCs w:val="24"/>
          <w:bdr w:val="none" w:sz="0" w:space="0" w:color="auto" w:frame="1"/>
          <w:vertAlign w:val="subscript"/>
        </w:rPr>
        <w:t>0</w:t>
      </w:r>
      <w:r w:rsidRPr="003627E4">
        <w:rPr>
          <w:rFonts w:ascii="Arial" w:eastAsia="Times New Roman" w:hAnsi="Arial" w:cs="Arial"/>
          <w:color w:val="000000"/>
          <w:sz w:val="24"/>
          <w:szCs w:val="24"/>
        </w:rPr>
        <w:t>), future consumption (</w:t>
      </w:r>
      <w:r w:rsidRPr="003627E4">
        <w:rPr>
          <w:rFonts w:ascii="Arial" w:eastAsia="Times New Roman" w:hAnsi="Arial" w:cs="Arial"/>
          <w:i/>
          <w:iCs/>
          <w:color w:val="000000"/>
          <w:sz w:val="24"/>
          <w:szCs w:val="24"/>
          <w:bdr w:val="none" w:sz="0" w:space="0" w:color="auto" w:frame="1"/>
        </w:rPr>
        <w:t>c</w:t>
      </w:r>
      <w:r w:rsidRPr="003627E4">
        <w:rPr>
          <w:rFonts w:ascii="Arial" w:eastAsia="Times New Roman" w:hAnsi="Arial" w:cs="Arial"/>
          <w:color w:val="000000"/>
          <w:sz w:val="24"/>
          <w:szCs w:val="24"/>
          <w:bdr w:val="none" w:sz="0" w:space="0" w:color="auto" w:frame="1"/>
          <w:vertAlign w:val="subscript"/>
        </w:rPr>
        <w:t>1</w:t>
      </w:r>
      <w:r w:rsidRPr="003627E4">
        <w:rPr>
          <w:rFonts w:ascii="Arial" w:eastAsia="Times New Roman" w:hAnsi="Arial" w:cs="Arial"/>
          <w:color w:val="000000"/>
          <w:sz w:val="24"/>
          <w:szCs w:val="24"/>
        </w:rPr>
        <w:t>), investment (</w:t>
      </w:r>
      <w:r w:rsidRPr="003627E4">
        <w:rPr>
          <w:rFonts w:ascii="Arial" w:eastAsia="Times New Roman" w:hAnsi="Arial" w:cs="Arial"/>
          <w:i/>
          <w:iCs/>
          <w:color w:val="000000"/>
          <w:sz w:val="24"/>
          <w:szCs w:val="24"/>
          <w:bdr w:val="none" w:sz="0" w:space="0" w:color="auto" w:frame="1"/>
        </w:rPr>
        <w:t>I</w:t>
      </w:r>
      <w:r w:rsidRPr="003627E4">
        <w:rPr>
          <w:rFonts w:ascii="Arial" w:eastAsia="Times New Roman" w:hAnsi="Arial" w:cs="Arial"/>
          <w:color w:val="000000"/>
          <w:sz w:val="24"/>
          <w:szCs w:val="24"/>
        </w:rPr>
        <w:t>), imports (</w:t>
      </w:r>
      <w:r w:rsidRPr="003627E4">
        <w:rPr>
          <w:rFonts w:ascii="Arial" w:eastAsia="Times New Roman" w:hAnsi="Arial" w:cs="Arial"/>
          <w:i/>
          <w:iCs/>
          <w:color w:val="000000"/>
          <w:sz w:val="24"/>
          <w:szCs w:val="24"/>
          <w:bdr w:val="none" w:sz="0" w:space="0" w:color="auto" w:frame="1"/>
        </w:rPr>
        <w:t>M</w:t>
      </w:r>
      <w:r w:rsidRPr="003627E4">
        <w:rPr>
          <w:rFonts w:ascii="Arial" w:eastAsia="Times New Roman" w:hAnsi="Arial" w:cs="Arial"/>
          <w:color w:val="000000"/>
          <w:sz w:val="24"/>
          <w:szCs w:val="24"/>
        </w:rPr>
        <w:t>), and exports (</w:t>
      </w:r>
      <w:r w:rsidRPr="003627E4">
        <w:rPr>
          <w:rFonts w:ascii="Arial" w:eastAsia="Times New Roman" w:hAnsi="Arial" w:cs="Arial"/>
          <w:i/>
          <w:iCs/>
          <w:color w:val="000000"/>
          <w:sz w:val="24"/>
          <w:szCs w:val="24"/>
          <w:bdr w:val="none" w:sz="0" w:space="0" w:color="auto" w:frame="1"/>
        </w:rPr>
        <w:t>X</w:t>
      </w:r>
      <w:r w:rsidRPr="003627E4">
        <w:rPr>
          <w:rFonts w:ascii="Arial" w:eastAsia="Times New Roman" w:hAnsi="Arial" w:cs="Arial"/>
          <w:color w:val="000000"/>
          <w:sz w:val="24"/>
          <w:szCs w:val="24"/>
        </w:rPr>
        <w:t>). There is a representative consumer and a representative producer. There is an initial endowment in the first period and none in the second. There is a flat income tax rate (</w:t>
      </w:r>
      <w:r w:rsidRPr="003627E4">
        <w:rPr>
          <w:rFonts w:ascii="Arial" w:eastAsia="Times New Roman" w:hAnsi="Arial" w:cs="Arial"/>
          <w:i/>
          <w:iCs/>
          <w:color w:val="000000"/>
          <w:sz w:val="24"/>
          <w:szCs w:val="24"/>
          <w:bdr w:val="none" w:sz="0" w:space="0" w:color="auto" w:frame="1"/>
        </w:rPr>
        <w:t>t</w:t>
      </w:r>
      <w:r w:rsidRPr="003627E4">
        <w:rPr>
          <w:rFonts w:ascii="Arial" w:eastAsia="Times New Roman" w:hAnsi="Arial" w:cs="Arial"/>
          <w:color w:val="000000"/>
          <w:sz w:val="24"/>
          <w:szCs w:val="24"/>
        </w:rPr>
        <w:t xml:space="preserve">) that applies to both individuals and businesses. </w:t>
      </w:r>
      <w:proofErr w:type="gramStart"/>
      <w:r w:rsidRPr="003627E4">
        <w:rPr>
          <w:rFonts w:ascii="Arial" w:eastAsia="Times New Roman" w:hAnsi="Arial" w:cs="Arial"/>
          <w:color w:val="000000"/>
          <w:sz w:val="24"/>
          <w:szCs w:val="24"/>
        </w:rPr>
        <w:t>As is common in advanced economies, the tax is based on the residence principle, according to which residents (both individuals and businesses) are taxed on their worldwide income, irrespective of its origin – domestic or foreign.</w:t>
      </w:r>
      <w:r w:rsidRPr="003627E4">
        <w:rPr>
          <w:rFonts w:ascii="Arial" w:eastAsia="Times New Roman" w:hAnsi="Arial" w:cs="Arial"/>
          <w:color w:val="000000"/>
          <w:sz w:val="24"/>
          <w:szCs w:val="24"/>
          <w:bdr w:val="none" w:sz="0" w:space="0" w:color="auto" w:frame="1"/>
          <w:vertAlign w:val="superscript"/>
        </w:rPr>
        <w:t>3</w:t>
      </w:r>
      <w:r w:rsidRPr="003627E4">
        <w:rPr>
          <w:rFonts w:ascii="Arial" w:eastAsia="Times New Roman" w:hAnsi="Arial" w:cs="Arial"/>
          <w:color w:val="000000"/>
          <w:sz w:val="24"/>
          <w:szCs w:val="24"/>
        </w:rPr>
        <w:t> As residents are taxed on their capital income at the same rate whether they invest at home or abroad, the domestic real interest rate in our small open economy is equal, by arbitrage, to the internationally given real interest rate (</w:t>
      </w:r>
      <w:r w:rsidRPr="003627E4">
        <w:rPr>
          <w:rFonts w:ascii="Arial" w:eastAsia="Times New Roman" w:hAnsi="Arial" w:cs="Arial"/>
          <w:i/>
          <w:iCs/>
          <w:color w:val="000000"/>
          <w:sz w:val="24"/>
          <w:szCs w:val="24"/>
          <w:bdr w:val="none" w:sz="0" w:space="0" w:color="auto" w:frame="1"/>
        </w:rPr>
        <w:t>r</w:t>
      </w:r>
      <w:r w:rsidRPr="003627E4">
        <w:rPr>
          <w:rFonts w:ascii="Arial" w:eastAsia="Times New Roman" w:hAnsi="Arial" w:cs="Arial"/>
          <w:color w:val="000000"/>
          <w:sz w:val="24"/>
          <w:szCs w:val="24"/>
        </w:rPr>
        <w:t>*).</w:t>
      </w:r>
      <w:proofErr w:type="gramEnd"/>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lastRenderedPageBreak/>
        <w:t xml:space="preserve">Suppose first that there are no border tax adjustments. </w:t>
      </w:r>
      <w:proofErr w:type="gramStart"/>
      <w:r w:rsidRPr="003627E4">
        <w:rPr>
          <w:rFonts w:ascii="Arial" w:eastAsia="Times New Roman" w:hAnsi="Arial" w:cs="Arial"/>
          <w:color w:val="000000"/>
          <w:sz w:val="24"/>
          <w:szCs w:val="24"/>
        </w:rPr>
        <w:t xml:space="preserve">As expected in this standard model, the equilibrium is </w:t>
      </w:r>
      <w:proofErr w:type="spellStart"/>
      <w:r w:rsidRPr="003627E4">
        <w:rPr>
          <w:rFonts w:ascii="Arial" w:eastAsia="Times New Roman" w:hAnsi="Arial" w:cs="Arial"/>
          <w:color w:val="000000"/>
          <w:sz w:val="24"/>
          <w:szCs w:val="24"/>
        </w:rPr>
        <w:t>characterised</w:t>
      </w:r>
      <w:proofErr w:type="spellEnd"/>
      <w:r w:rsidRPr="003627E4">
        <w:rPr>
          <w:rFonts w:ascii="Arial" w:eastAsia="Times New Roman" w:hAnsi="Arial" w:cs="Arial"/>
          <w:color w:val="000000"/>
          <w:sz w:val="24"/>
          <w:szCs w:val="24"/>
        </w:rPr>
        <w:t xml:space="preserve"> by the standard marginality conditions—the marginal product of capital equals r* and the intertemporal marginal rate of substitution of future for present consumption equals 1 + (1 – </w:t>
      </w:r>
      <w:r w:rsidRPr="003627E4">
        <w:rPr>
          <w:rFonts w:ascii="Arial" w:eastAsia="Times New Roman" w:hAnsi="Arial" w:cs="Arial"/>
          <w:i/>
          <w:iCs/>
          <w:color w:val="000000"/>
          <w:sz w:val="24"/>
          <w:szCs w:val="24"/>
          <w:bdr w:val="none" w:sz="0" w:space="0" w:color="auto" w:frame="1"/>
        </w:rPr>
        <w:t>t</w:t>
      </w:r>
      <w:r w:rsidRPr="003627E4">
        <w:rPr>
          <w:rFonts w:ascii="Arial" w:eastAsia="Times New Roman" w:hAnsi="Arial" w:cs="Arial"/>
          <w:color w:val="000000"/>
          <w:sz w:val="24"/>
          <w:szCs w:val="24"/>
        </w:rPr>
        <w:t xml:space="preserve">) </w:t>
      </w:r>
      <w:r w:rsidRPr="003627E4">
        <w:rPr>
          <w:rFonts w:ascii="Arial" w:eastAsia="Times New Roman" w:hAnsi="Arial" w:cs="Arial"/>
          <w:i/>
          <w:iCs/>
          <w:color w:val="000000"/>
          <w:sz w:val="24"/>
          <w:szCs w:val="24"/>
          <w:bdr w:val="none" w:sz="0" w:space="0" w:color="auto" w:frame="1"/>
        </w:rPr>
        <w:t>r</w:t>
      </w:r>
      <w:r w:rsidRPr="003627E4">
        <w:rPr>
          <w:rFonts w:ascii="Arial" w:eastAsia="Times New Roman" w:hAnsi="Arial" w:cs="Arial"/>
          <w:color w:val="000000"/>
          <w:sz w:val="24"/>
          <w:szCs w:val="24"/>
        </w:rPr>
        <w:t>*.</w:t>
      </w:r>
      <w:r w:rsidRPr="003627E4">
        <w:rPr>
          <w:rFonts w:ascii="Arial" w:eastAsia="Times New Roman" w:hAnsi="Arial" w:cs="Arial"/>
          <w:color w:val="000000"/>
          <w:sz w:val="24"/>
          <w:szCs w:val="24"/>
          <w:bdr w:val="none" w:sz="0" w:space="0" w:color="auto" w:frame="1"/>
          <w:vertAlign w:val="superscript"/>
        </w:rPr>
        <w:t>4</w:t>
      </w:r>
      <w:r w:rsidRPr="003627E4">
        <w:rPr>
          <w:rFonts w:ascii="Arial" w:eastAsia="Times New Roman" w:hAnsi="Arial" w:cs="Arial"/>
          <w:color w:val="000000"/>
          <w:sz w:val="24"/>
          <w:szCs w:val="24"/>
        </w:rPr>
        <w:t> Note that the marginal rate of substitution (the absolute slope of the consumer’s indifference curve) is lower than the absolute slope of the production possibilities frontier (in essence, we can say that there is inadequate domestic savings).</w:t>
      </w:r>
      <w:proofErr w:type="gramEnd"/>
      <w:r w:rsidRPr="003627E4">
        <w:rPr>
          <w:rFonts w:ascii="Arial" w:eastAsia="Times New Roman" w:hAnsi="Arial" w:cs="Arial"/>
          <w:color w:val="000000"/>
          <w:sz w:val="24"/>
          <w:szCs w:val="24"/>
        </w:rPr>
        <w:t xml:space="preserve"> This equilibrium </w:t>
      </w:r>
      <w:proofErr w:type="gramStart"/>
      <w:r w:rsidRPr="003627E4">
        <w:rPr>
          <w:rFonts w:ascii="Arial" w:eastAsia="Times New Roman" w:hAnsi="Arial" w:cs="Arial"/>
          <w:color w:val="000000"/>
          <w:sz w:val="24"/>
          <w:szCs w:val="24"/>
        </w:rPr>
        <w:t>is illustrated</w:t>
      </w:r>
      <w:proofErr w:type="gramEnd"/>
      <w:r w:rsidRPr="003627E4">
        <w:rPr>
          <w:rFonts w:ascii="Arial" w:eastAsia="Times New Roman" w:hAnsi="Arial" w:cs="Arial"/>
          <w:color w:val="000000"/>
          <w:sz w:val="24"/>
          <w:szCs w:val="24"/>
        </w:rPr>
        <w:t xml:space="preserve"> in Figure 1.</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b/>
          <w:bCs/>
          <w:color w:val="000000"/>
          <w:sz w:val="24"/>
          <w:szCs w:val="24"/>
          <w:bdr w:val="none" w:sz="0" w:space="0" w:color="auto" w:frame="1"/>
        </w:rPr>
        <w:t xml:space="preserve">Figure </w:t>
      </w:r>
      <w:proofErr w:type="gramStart"/>
      <w:r w:rsidRPr="003627E4">
        <w:rPr>
          <w:rFonts w:ascii="Arial" w:eastAsia="Times New Roman" w:hAnsi="Arial" w:cs="Arial"/>
          <w:b/>
          <w:bCs/>
          <w:color w:val="000000"/>
          <w:sz w:val="24"/>
          <w:szCs w:val="24"/>
          <w:bdr w:val="none" w:sz="0" w:space="0" w:color="auto" w:frame="1"/>
        </w:rPr>
        <w:t>1</w:t>
      </w:r>
      <w:proofErr w:type="gramEnd"/>
      <w:r w:rsidRPr="003627E4">
        <w:rPr>
          <w:rFonts w:ascii="Arial" w:eastAsia="Times New Roman" w:hAnsi="Arial" w:cs="Arial"/>
          <w:color w:val="000000"/>
          <w:sz w:val="24"/>
          <w:szCs w:val="24"/>
        </w:rPr>
        <w:t> Residence-based taxation allocation with or without border tax adjustments</w:t>
      </w:r>
    </w:p>
    <w:p w:rsidR="003627E4" w:rsidRPr="003627E4" w:rsidRDefault="003627E4" w:rsidP="003627E4">
      <w:pPr>
        <w:pStyle w:val="NormalWeb"/>
        <w:spacing w:after="0" w:line="480" w:lineRule="auto"/>
        <w:textAlignment w:val="baseline"/>
        <w:rPr>
          <w:rFonts w:ascii="Arial" w:eastAsia="Times New Roman" w:hAnsi="Arial" w:cs="Arial"/>
          <w:color w:val="000000"/>
        </w:rPr>
      </w:pPr>
      <w:r w:rsidRPr="003627E4">
        <w:rPr>
          <w:rFonts w:ascii="Arial" w:eastAsia="Times New Roman" w:hAnsi="Arial" w:cs="Arial"/>
          <w:noProof/>
          <w:color w:val="000000"/>
        </w:rPr>
        <w:drawing>
          <wp:inline distT="0" distB="0" distL="0" distR="0" wp14:anchorId="34EE8504" wp14:editId="46481311">
            <wp:extent cx="5242560" cy="4137660"/>
            <wp:effectExtent l="0" t="0" r="0" b="0"/>
            <wp:docPr id="3" name="Picture 3" descr="https://voxeu.org/sites/default/files/image/FromMay2014/razin18dec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oxeu.org/sites/default/files/image/FromMay2014/razin18decf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4137660"/>
                    </a:xfrm>
                    <a:prstGeom prst="rect">
                      <a:avLst/>
                    </a:prstGeom>
                    <a:noFill/>
                    <a:ln>
                      <a:noFill/>
                    </a:ln>
                  </pic:spPr>
                </pic:pic>
              </a:graphicData>
            </a:graphic>
          </wp:inline>
        </w:drawing>
      </w:r>
      <w:r w:rsidRPr="003627E4">
        <w:rPr>
          <w:rFonts w:ascii="Arial" w:eastAsia="Times New Roman" w:hAnsi="Arial" w:cs="Arial"/>
          <w:color w:val="000000"/>
        </w:rPr>
        <w:t xml:space="preserve">Now, consider border tax adjustments, where imports are not deductible, and exports are tax exempt. Suppose that the world price of the composite good is unity. Because imports are not deductible, the domestic price of the composite good </w:t>
      </w:r>
      <w:proofErr w:type="gramStart"/>
      <w:r w:rsidRPr="003627E4">
        <w:rPr>
          <w:rFonts w:ascii="Arial" w:eastAsia="Times New Roman" w:hAnsi="Arial" w:cs="Arial"/>
          <w:color w:val="000000"/>
        </w:rPr>
        <w:t>must be grossed</w:t>
      </w:r>
      <w:proofErr w:type="gramEnd"/>
      <w:r w:rsidRPr="003627E4">
        <w:rPr>
          <w:rFonts w:ascii="Arial" w:eastAsia="Times New Roman" w:hAnsi="Arial" w:cs="Arial"/>
          <w:color w:val="000000"/>
        </w:rPr>
        <w:t xml:space="preserve"> up to 1/1-</w:t>
      </w:r>
      <w:r w:rsidRPr="003627E4">
        <w:rPr>
          <w:rFonts w:ascii="Arial" w:eastAsia="Times New Roman" w:hAnsi="Arial" w:cs="Arial"/>
          <w:i/>
          <w:iCs/>
          <w:color w:val="000000"/>
          <w:bdr w:val="none" w:sz="0" w:space="0" w:color="auto" w:frame="1"/>
        </w:rPr>
        <w:lastRenderedPageBreak/>
        <w:t>t</w:t>
      </w:r>
      <w:r w:rsidRPr="003627E4">
        <w:rPr>
          <w:rFonts w:ascii="Arial" w:eastAsia="Times New Roman" w:hAnsi="Arial" w:cs="Arial"/>
          <w:color w:val="000000"/>
        </w:rPr>
        <w:t xml:space="preserve"> if imported, through arbitrage. Similarly, because exports are exempted, </w:t>
      </w:r>
      <w:proofErr w:type="gramStart"/>
      <w:r w:rsidRPr="003627E4">
        <w:rPr>
          <w:rFonts w:ascii="Arial" w:eastAsia="Times New Roman" w:hAnsi="Arial" w:cs="Arial"/>
          <w:color w:val="000000"/>
        </w:rPr>
        <w:t>the domestic price of the composite good will also be grossed</w:t>
      </w:r>
      <w:proofErr w:type="gramEnd"/>
      <w:r w:rsidRPr="003627E4">
        <w:rPr>
          <w:rFonts w:ascii="Arial" w:eastAsia="Times New Roman" w:hAnsi="Arial" w:cs="Arial"/>
          <w:color w:val="000000"/>
        </w:rPr>
        <w:t xml:space="preserve"> up to 1/1-</w:t>
      </w:r>
      <w:r w:rsidRPr="003627E4">
        <w:rPr>
          <w:rFonts w:ascii="Arial" w:eastAsia="Times New Roman" w:hAnsi="Arial" w:cs="Arial"/>
          <w:i/>
          <w:iCs/>
          <w:color w:val="000000"/>
          <w:bdr w:val="none" w:sz="0" w:space="0" w:color="auto" w:frame="1"/>
        </w:rPr>
        <w:t>t</w:t>
      </w:r>
      <w:r w:rsidRPr="003627E4">
        <w:rPr>
          <w:rFonts w:ascii="Arial" w:eastAsia="Times New Roman" w:hAnsi="Arial" w:cs="Arial"/>
          <w:color w:val="000000"/>
        </w:rPr>
        <w:t>, if exported. Thus, the consumer intertemporal relative price remains 1</w:t>
      </w:r>
      <w:proofErr w:type="gramStart"/>
      <w:r w:rsidRPr="003627E4">
        <w:rPr>
          <w:rFonts w:ascii="Arial" w:eastAsia="Times New Roman" w:hAnsi="Arial" w:cs="Arial"/>
          <w:color w:val="000000"/>
        </w:rPr>
        <w:t>+(</w:t>
      </w:r>
      <w:proofErr w:type="gramEnd"/>
      <w:r w:rsidRPr="003627E4">
        <w:rPr>
          <w:rFonts w:ascii="Arial" w:eastAsia="Times New Roman" w:hAnsi="Arial" w:cs="Arial"/>
          <w:color w:val="000000"/>
        </w:rPr>
        <w:t>1-</w:t>
      </w:r>
      <w:r w:rsidRPr="003627E4">
        <w:rPr>
          <w:rFonts w:ascii="Arial" w:eastAsia="Times New Roman" w:hAnsi="Arial" w:cs="Arial"/>
          <w:i/>
          <w:iCs/>
          <w:color w:val="000000"/>
          <w:bdr w:val="none" w:sz="0" w:space="0" w:color="auto" w:frame="1"/>
        </w:rPr>
        <w:t>t)</w:t>
      </w:r>
      <w:r w:rsidRPr="003627E4">
        <w:rPr>
          <w:rFonts w:ascii="Arial" w:eastAsia="Times New Roman" w:hAnsi="Arial" w:cs="Arial"/>
          <w:color w:val="000000"/>
        </w:rPr>
        <w:t>r* and the producer intertemporal relative price remains 1+</w:t>
      </w:r>
      <w:r w:rsidRPr="003627E4">
        <w:rPr>
          <w:rFonts w:ascii="Arial" w:eastAsia="Times New Roman" w:hAnsi="Arial" w:cs="Arial"/>
          <w:i/>
          <w:iCs/>
          <w:color w:val="000000"/>
          <w:bdr w:val="none" w:sz="0" w:space="0" w:color="auto" w:frame="1"/>
        </w:rPr>
        <w:t>r</w:t>
      </w:r>
      <w:r w:rsidRPr="003627E4">
        <w:rPr>
          <w:rFonts w:ascii="Arial" w:eastAsia="Times New Roman" w:hAnsi="Arial" w:cs="Arial"/>
          <w:color w:val="000000"/>
        </w:rPr>
        <w:t xml:space="preserve">*. Hence, the equilibrium is </w:t>
      </w:r>
      <w:proofErr w:type="spellStart"/>
      <w:r w:rsidRPr="003627E4">
        <w:rPr>
          <w:rFonts w:ascii="Arial" w:eastAsia="Times New Roman" w:hAnsi="Arial" w:cs="Arial"/>
          <w:color w:val="000000"/>
        </w:rPr>
        <w:t>characterised</w:t>
      </w:r>
      <w:proofErr w:type="spellEnd"/>
      <w:r w:rsidRPr="003627E4">
        <w:rPr>
          <w:rFonts w:ascii="Arial" w:eastAsia="Times New Roman" w:hAnsi="Arial" w:cs="Arial"/>
          <w:color w:val="000000"/>
        </w:rPr>
        <w:t xml:space="preserve"> again by the same marginality conditions as before. This equilibrium </w:t>
      </w:r>
      <w:proofErr w:type="gramStart"/>
      <w:r w:rsidRPr="003627E4">
        <w:rPr>
          <w:rFonts w:ascii="Arial" w:eastAsia="Times New Roman" w:hAnsi="Arial" w:cs="Arial"/>
          <w:color w:val="000000"/>
        </w:rPr>
        <w:t>is depicted</w:t>
      </w:r>
      <w:proofErr w:type="gramEnd"/>
      <w:r w:rsidRPr="003627E4">
        <w:rPr>
          <w:rFonts w:ascii="Arial" w:eastAsia="Times New Roman" w:hAnsi="Arial" w:cs="Arial"/>
          <w:color w:val="000000"/>
        </w:rPr>
        <w:t xml:space="preserve"> in Figure 2, which also re-depict the former equilibrium for comparison.</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Thus, border tax adjustments have no effect on the equilibrium in this simple setup with no non-tradable goods. This establishes the neutrality of border tax adjustments.</w:t>
      </w:r>
      <w:r w:rsidRPr="003627E4">
        <w:rPr>
          <w:rFonts w:ascii="Arial" w:eastAsia="Times New Roman" w:hAnsi="Arial" w:cs="Arial"/>
          <w:color w:val="000000"/>
          <w:sz w:val="24"/>
          <w:szCs w:val="24"/>
          <w:bdr w:val="none" w:sz="0" w:space="0" w:color="auto" w:frame="1"/>
          <w:vertAlign w:val="superscript"/>
        </w:rPr>
        <w:t>5</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Reforming the income tax from the source-based to the residence principle</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Israel’s tax system was </w:t>
      </w:r>
      <w:proofErr w:type="gramStart"/>
      <w:r w:rsidRPr="003627E4">
        <w:rPr>
          <w:rFonts w:ascii="Arial" w:eastAsia="Times New Roman" w:hAnsi="Arial" w:cs="Arial"/>
          <w:color w:val="000000"/>
          <w:sz w:val="24"/>
          <w:szCs w:val="24"/>
        </w:rPr>
        <w:t>by and large</w:t>
      </w:r>
      <w:proofErr w:type="gramEnd"/>
      <w:r w:rsidRPr="003627E4">
        <w:rPr>
          <w:rFonts w:ascii="Arial" w:eastAsia="Times New Roman" w:hAnsi="Arial" w:cs="Arial"/>
          <w:color w:val="000000"/>
          <w:sz w:val="24"/>
          <w:szCs w:val="24"/>
        </w:rPr>
        <w:t xml:space="preserve"> based on the source principle. That is, only income from domestic sources are subject to a tax, whereas foreign-source income is exempt. With the growing process of </w:t>
      </w:r>
      <w:proofErr w:type="spellStart"/>
      <w:r w:rsidRPr="003627E4">
        <w:rPr>
          <w:rFonts w:ascii="Arial" w:eastAsia="Times New Roman" w:hAnsi="Arial" w:cs="Arial"/>
          <w:color w:val="000000"/>
          <w:sz w:val="24"/>
          <w:szCs w:val="24"/>
        </w:rPr>
        <w:t>globalisation</w:t>
      </w:r>
      <w:proofErr w:type="spellEnd"/>
      <w:r w:rsidRPr="003627E4">
        <w:rPr>
          <w:rFonts w:ascii="Arial" w:eastAsia="Times New Roman" w:hAnsi="Arial" w:cs="Arial"/>
          <w:color w:val="000000"/>
          <w:sz w:val="24"/>
          <w:szCs w:val="24"/>
        </w:rPr>
        <w:t>, especially in the capital field, Israel shifted to the residence principle in 2003.</w:t>
      </w:r>
      <w:r w:rsidRPr="003627E4">
        <w:rPr>
          <w:rFonts w:ascii="Arial" w:eastAsia="Times New Roman" w:hAnsi="Arial" w:cs="Arial"/>
          <w:color w:val="000000"/>
          <w:sz w:val="24"/>
          <w:szCs w:val="24"/>
          <w:bdr w:val="none" w:sz="0" w:space="0" w:color="auto" w:frame="1"/>
          <w:vertAlign w:val="superscript"/>
        </w:rPr>
        <w:t>6</w:t>
      </w:r>
      <w:r w:rsidRPr="003627E4">
        <w:rPr>
          <w:rFonts w:ascii="Arial" w:eastAsia="Times New Roman" w:hAnsi="Arial" w:cs="Arial"/>
          <w:color w:val="000000"/>
          <w:sz w:val="24"/>
          <w:szCs w:val="24"/>
        </w:rPr>
        <w:t> </w:t>
      </w:r>
      <w:proofErr w:type="gramStart"/>
      <w:r w:rsidRPr="003627E4">
        <w:rPr>
          <w:rFonts w:ascii="Arial" w:eastAsia="Times New Roman" w:hAnsi="Arial" w:cs="Arial"/>
          <w:color w:val="000000"/>
          <w:sz w:val="24"/>
          <w:szCs w:val="24"/>
        </w:rPr>
        <w:t>Here</w:t>
      </w:r>
      <w:proofErr w:type="gramEnd"/>
      <w:r w:rsidRPr="003627E4">
        <w:rPr>
          <w:rFonts w:ascii="Arial" w:eastAsia="Times New Roman" w:hAnsi="Arial" w:cs="Arial"/>
          <w:color w:val="000000"/>
          <w:sz w:val="24"/>
          <w:szCs w:val="24"/>
        </w:rPr>
        <w:t xml:space="preserve"> we illustrate the equilibrium under the source principle and compare it to the residence equilibrium.</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As foreign-source income is not taxed, whereas domestic-source income is taxed, it follows by arbitrage that the domestic real rate of interest will be grossed up to r*/1-t. As a result, the source equilibrium will be </w:t>
      </w:r>
      <w:proofErr w:type="spellStart"/>
      <w:r w:rsidRPr="003627E4">
        <w:rPr>
          <w:rFonts w:ascii="Arial" w:eastAsia="Times New Roman" w:hAnsi="Arial" w:cs="Arial"/>
          <w:color w:val="000000"/>
          <w:sz w:val="24"/>
          <w:szCs w:val="24"/>
        </w:rPr>
        <w:t>characterised</w:t>
      </w:r>
      <w:proofErr w:type="spellEnd"/>
      <w:r w:rsidRPr="003627E4">
        <w:rPr>
          <w:rFonts w:ascii="Arial" w:eastAsia="Times New Roman" w:hAnsi="Arial" w:cs="Arial"/>
          <w:color w:val="000000"/>
          <w:sz w:val="24"/>
          <w:szCs w:val="24"/>
        </w:rPr>
        <w:t xml:space="preserve"> by the marginal product of capital being equal to r*</w:t>
      </w:r>
      <w:proofErr w:type="gramStart"/>
      <w:r w:rsidRPr="003627E4">
        <w:rPr>
          <w:rFonts w:ascii="Arial" w:eastAsia="Times New Roman" w:hAnsi="Arial" w:cs="Arial"/>
          <w:color w:val="000000"/>
          <w:sz w:val="24"/>
          <w:szCs w:val="24"/>
        </w:rPr>
        <w:t>/(</w:t>
      </w:r>
      <w:proofErr w:type="gramEnd"/>
      <w:r w:rsidRPr="003627E4">
        <w:rPr>
          <w:rFonts w:ascii="Arial" w:eastAsia="Times New Roman" w:hAnsi="Arial" w:cs="Arial"/>
          <w:color w:val="000000"/>
          <w:sz w:val="24"/>
          <w:szCs w:val="24"/>
        </w:rPr>
        <w:t>1 – t) and the intertemporal marginal rate of substitution of future for present consumption being equal to 1 +</w:t>
      </w:r>
      <w:r w:rsidRPr="003627E4">
        <w:rPr>
          <w:rFonts w:ascii="Arial" w:eastAsia="Times New Roman" w:hAnsi="Arial" w:cs="Arial"/>
          <w:i/>
          <w:iCs/>
          <w:color w:val="000000"/>
          <w:sz w:val="24"/>
          <w:szCs w:val="24"/>
          <w:bdr w:val="none" w:sz="0" w:space="0" w:color="auto" w:frame="1"/>
        </w:rPr>
        <w:t xml:space="preserve"> r</w:t>
      </w:r>
      <w:r w:rsidRPr="003627E4">
        <w:rPr>
          <w:rFonts w:ascii="Arial" w:eastAsia="Times New Roman" w:hAnsi="Arial" w:cs="Arial"/>
          <w:color w:val="000000"/>
          <w:sz w:val="24"/>
          <w:szCs w:val="24"/>
        </w:rPr>
        <w:t>*. That is, production is at a point, where the marginal product of capita is below the world real rate of interest (there is inadequate domestic investment). As a result, the consumption possibilities frontier shrinks (see Figure 2).</w:t>
      </w:r>
    </w:p>
    <w:p w:rsid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b/>
          <w:bCs/>
          <w:color w:val="000000"/>
          <w:sz w:val="24"/>
          <w:szCs w:val="24"/>
          <w:bdr w:val="none" w:sz="0" w:space="0" w:color="auto" w:frame="1"/>
        </w:rPr>
        <w:lastRenderedPageBreak/>
        <w:t xml:space="preserve">Figure </w:t>
      </w:r>
      <w:proofErr w:type="gramStart"/>
      <w:r w:rsidRPr="003627E4">
        <w:rPr>
          <w:rFonts w:ascii="Arial" w:eastAsia="Times New Roman" w:hAnsi="Arial" w:cs="Arial"/>
          <w:b/>
          <w:bCs/>
          <w:color w:val="000000"/>
          <w:sz w:val="24"/>
          <w:szCs w:val="24"/>
          <w:bdr w:val="none" w:sz="0" w:space="0" w:color="auto" w:frame="1"/>
        </w:rPr>
        <w:t>2</w:t>
      </w:r>
      <w:proofErr w:type="gramEnd"/>
      <w:r w:rsidRPr="003627E4">
        <w:rPr>
          <w:rFonts w:ascii="Arial" w:eastAsia="Times New Roman" w:hAnsi="Arial" w:cs="Arial"/>
          <w:color w:val="000000"/>
          <w:sz w:val="24"/>
          <w:szCs w:val="24"/>
        </w:rPr>
        <w:t> Source vs residence-based taxation</w:t>
      </w:r>
    </w:p>
    <w:p w:rsidR="003627E4" w:rsidRDefault="003627E4" w:rsidP="003627E4">
      <w:pPr>
        <w:spacing w:after="0" w:line="480" w:lineRule="auto"/>
        <w:textAlignment w:val="baseline"/>
        <w:rPr>
          <w:rFonts w:ascii="Arial" w:eastAsia="Times New Roman" w:hAnsi="Arial" w:cs="Arial"/>
          <w:color w:val="000000"/>
          <w:sz w:val="24"/>
          <w:szCs w:val="24"/>
        </w:rPr>
      </w:pPr>
    </w:p>
    <w:p w:rsidR="003627E4" w:rsidRPr="003627E4" w:rsidRDefault="003627E4" w:rsidP="003627E4">
      <w:pPr>
        <w:spacing w:after="0" w:line="480" w:lineRule="auto"/>
        <w:textAlignment w:val="baseline"/>
        <w:rPr>
          <w:rFonts w:ascii="Arial" w:eastAsia="Times New Roman" w:hAnsi="Arial" w:cs="Arial"/>
          <w:color w:val="000000"/>
          <w:sz w:val="24"/>
          <w:szCs w:val="24"/>
        </w:rPr>
      </w:pPr>
      <w:r>
        <w:rPr>
          <w:noProof/>
        </w:rPr>
        <w:drawing>
          <wp:inline distT="0" distB="0" distL="0" distR="0" wp14:anchorId="185AB731" wp14:editId="6B32A093">
            <wp:extent cx="5250180" cy="4480560"/>
            <wp:effectExtent l="0" t="0" r="7620" b="0"/>
            <wp:docPr id="1" name="Picture 1" descr="https://voxeu.org/sites/default/files/image/FromMay2014/razin18dec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xeu.org/sites/default/files/image/FromMay2014/razin18decfi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180" cy="4480560"/>
                    </a:xfrm>
                    <a:prstGeom prst="rect">
                      <a:avLst/>
                    </a:prstGeom>
                    <a:noFill/>
                    <a:ln>
                      <a:noFill/>
                    </a:ln>
                  </pic:spPr>
                </pic:pic>
              </a:graphicData>
            </a:graphic>
          </wp:inline>
        </w:drawing>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Border taxes and the trade balance</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So far, we did not have any border taxes (barriers to trade). Even the border tax adjustments discussed in section 1 </w:t>
      </w:r>
      <w:proofErr w:type="gramStart"/>
      <w:r w:rsidRPr="003627E4">
        <w:rPr>
          <w:rFonts w:ascii="Arial" w:eastAsia="Times New Roman" w:hAnsi="Arial" w:cs="Arial"/>
          <w:color w:val="000000"/>
          <w:sz w:val="24"/>
          <w:szCs w:val="24"/>
        </w:rPr>
        <w:t>were shown</w:t>
      </w:r>
      <w:proofErr w:type="gramEnd"/>
      <w:r w:rsidRPr="003627E4">
        <w:rPr>
          <w:rFonts w:ascii="Arial" w:eastAsia="Times New Roman" w:hAnsi="Arial" w:cs="Arial"/>
          <w:color w:val="000000"/>
          <w:sz w:val="24"/>
          <w:szCs w:val="24"/>
        </w:rPr>
        <w:t xml:space="preserve"> not to amount to border taxes. In this section, we address the issue of border taxes.</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For Trump, NAFTA is “an economic disaster”, because the US has increased its trade deficit with Mexico from a $1.6 billion surplus in 1993 (the year prior to NAFTA’s implementation) to $63.2 billion in 2016. In part, the US-Mexico trade balance reflected </w:t>
      </w:r>
      <w:r w:rsidRPr="003627E4">
        <w:rPr>
          <w:rFonts w:ascii="Arial" w:eastAsia="Times New Roman" w:hAnsi="Arial" w:cs="Arial"/>
          <w:color w:val="000000"/>
          <w:sz w:val="24"/>
          <w:szCs w:val="24"/>
        </w:rPr>
        <w:lastRenderedPageBreak/>
        <w:t xml:space="preserve">a weak peso after it </w:t>
      </w:r>
      <w:proofErr w:type="gramStart"/>
      <w:r w:rsidRPr="003627E4">
        <w:rPr>
          <w:rFonts w:ascii="Arial" w:eastAsia="Times New Roman" w:hAnsi="Arial" w:cs="Arial"/>
          <w:color w:val="000000"/>
          <w:sz w:val="24"/>
          <w:szCs w:val="24"/>
        </w:rPr>
        <w:t>was weakened</w:t>
      </w:r>
      <w:proofErr w:type="gramEnd"/>
      <w:r w:rsidRPr="003627E4">
        <w:rPr>
          <w:rFonts w:ascii="Arial" w:eastAsia="Times New Roman" w:hAnsi="Arial" w:cs="Arial"/>
          <w:color w:val="000000"/>
          <w:sz w:val="24"/>
          <w:szCs w:val="24"/>
        </w:rPr>
        <w:t xml:space="preserve"> by the uncertainty over the future of US-Mexico bilateral trade relations. To reverse it, Trump’s solution is to abolish NAFTA.</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Policymakers often justify export subsidies and import tariffs by their effects at improving the trade balance. On the other hand, in standard international trade theory, we teach the Lerner’s (1936) Symmetry Theorem, according to which export taxes (rather than subsidies) and import tariffs have identical effects on resource allocation. In his analysis, Lerner explicitly abstracted from intertemporal aspects. The apparent puzzle is resolved once a distinction </w:t>
      </w:r>
      <w:proofErr w:type="gramStart"/>
      <w:r w:rsidRPr="003627E4">
        <w:rPr>
          <w:rFonts w:ascii="Arial" w:eastAsia="Times New Roman" w:hAnsi="Arial" w:cs="Arial"/>
          <w:color w:val="000000"/>
          <w:sz w:val="24"/>
          <w:szCs w:val="24"/>
        </w:rPr>
        <w:t>is made</w:t>
      </w:r>
      <w:proofErr w:type="gramEnd"/>
      <w:r w:rsidRPr="003627E4">
        <w:rPr>
          <w:rFonts w:ascii="Arial" w:eastAsia="Times New Roman" w:hAnsi="Arial" w:cs="Arial"/>
          <w:color w:val="000000"/>
          <w:sz w:val="24"/>
          <w:szCs w:val="24"/>
        </w:rPr>
        <w:t xml:space="preserve"> between temporary and permanent trade taxes in an explicitly intertemporal model. Razin and Svensson (1983) show that only a temporary import tariff improves the trade balance, and only a temporary export tax deteriorates it. However, fully persistent import tariffs or export taxes have an identical effect on the trade balance, as in Lerner’s Symmetry. Furthermore, to the first approximation, border taxes neither improve nor deteriorate the trade balance. The reason for this result is that temporary trade taxes, in contrast to permanent trade taxes, result in changes in intertemporal relative prices, and hence induce substitution between present and future goods. </w:t>
      </w:r>
      <w:proofErr w:type="gramStart"/>
      <w:r w:rsidRPr="003627E4">
        <w:rPr>
          <w:rFonts w:ascii="Arial" w:eastAsia="Times New Roman" w:hAnsi="Arial" w:cs="Arial"/>
          <w:color w:val="000000"/>
          <w:sz w:val="24"/>
          <w:szCs w:val="24"/>
        </w:rPr>
        <w:t>Thus</w:t>
      </w:r>
      <w:proofErr w:type="gramEnd"/>
      <w:r w:rsidRPr="003627E4">
        <w:rPr>
          <w:rFonts w:ascii="Arial" w:eastAsia="Times New Roman" w:hAnsi="Arial" w:cs="Arial"/>
          <w:color w:val="000000"/>
          <w:sz w:val="24"/>
          <w:szCs w:val="24"/>
        </w:rPr>
        <w:t xml:space="preserve"> they do affect savings and investment </w:t>
      </w:r>
      <w:proofErr w:type="spellStart"/>
      <w:r w:rsidRPr="003627E4">
        <w:rPr>
          <w:rFonts w:ascii="Arial" w:eastAsia="Times New Roman" w:hAnsi="Arial" w:cs="Arial"/>
          <w:color w:val="000000"/>
          <w:sz w:val="24"/>
          <w:szCs w:val="24"/>
        </w:rPr>
        <w:t>behaviour</w:t>
      </w:r>
      <w:proofErr w:type="spellEnd"/>
      <w:r w:rsidRPr="003627E4">
        <w:rPr>
          <w:rFonts w:ascii="Arial" w:eastAsia="Times New Roman" w:hAnsi="Arial" w:cs="Arial"/>
          <w:color w:val="000000"/>
          <w:sz w:val="24"/>
          <w:szCs w:val="24"/>
        </w:rPr>
        <w:t>.</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Conclusion</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In looking at the residence treatment of companies (as opposed to individuals), there are two key issues. The first is that a US company may have shareholders who are not US resident individuals. The second is that residence is </w:t>
      </w:r>
      <w:proofErr w:type="spellStart"/>
      <w:r w:rsidRPr="003627E4">
        <w:rPr>
          <w:rFonts w:ascii="Arial" w:eastAsia="Times New Roman" w:hAnsi="Arial" w:cs="Arial"/>
          <w:color w:val="000000"/>
          <w:sz w:val="24"/>
          <w:szCs w:val="24"/>
        </w:rPr>
        <w:t>engodenous</w:t>
      </w:r>
      <w:proofErr w:type="spellEnd"/>
      <w:r w:rsidRPr="003627E4">
        <w:rPr>
          <w:rFonts w:ascii="Arial" w:eastAsia="Times New Roman" w:hAnsi="Arial" w:cs="Arial"/>
          <w:color w:val="000000"/>
          <w:sz w:val="24"/>
          <w:szCs w:val="24"/>
        </w:rPr>
        <w:t xml:space="preserve"> under US residence-based corporate tax, leading to corporate inversions.</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lastRenderedPageBreak/>
        <w:t>References</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References</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Auerbach</w:t>
      </w:r>
      <w:proofErr w:type="spellEnd"/>
      <w:r w:rsidRPr="003627E4">
        <w:rPr>
          <w:rFonts w:ascii="Arial" w:eastAsia="Times New Roman" w:hAnsi="Arial" w:cs="Arial"/>
          <w:color w:val="000000"/>
          <w:sz w:val="24"/>
          <w:szCs w:val="24"/>
        </w:rPr>
        <w:t>, A J (2017), “Demystifying the destination-based cash-flow tax”, NBER, working paper 23881.</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Auerbach</w:t>
      </w:r>
      <w:proofErr w:type="spellEnd"/>
      <w:r w:rsidRPr="003627E4">
        <w:rPr>
          <w:rFonts w:ascii="Arial" w:eastAsia="Times New Roman" w:hAnsi="Arial" w:cs="Arial"/>
          <w:color w:val="000000"/>
          <w:sz w:val="24"/>
          <w:szCs w:val="24"/>
        </w:rPr>
        <w:t>, A J, M P Devereux, M Keen and J Vella (2017), "Destination-based cash flow taxation", Oxford University Centre for Business Taxation, WP 17/01.</w:t>
      </w:r>
    </w:p>
    <w:p w:rsidR="003627E4" w:rsidRPr="003627E4" w:rsidRDefault="003627E4" w:rsidP="003627E4">
      <w:pPr>
        <w:spacing w:after="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Berglas</w:t>
      </w:r>
      <w:proofErr w:type="spellEnd"/>
      <w:r w:rsidRPr="003627E4">
        <w:rPr>
          <w:rFonts w:ascii="Arial" w:eastAsia="Times New Roman" w:hAnsi="Arial" w:cs="Arial"/>
          <w:color w:val="000000"/>
          <w:sz w:val="24"/>
          <w:szCs w:val="24"/>
        </w:rPr>
        <w:t xml:space="preserve">, E (1974), “Devaluation, monetary policy and border tax adjustment”, </w:t>
      </w:r>
      <w:r w:rsidRPr="003627E4">
        <w:rPr>
          <w:rFonts w:ascii="Arial" w:eastAsia="Times New Roman" w:hAnsi="Arial" w:cs="Arial"/>
          <w:i/>
          <w:iCs/>
          <w:color w:val="000000"/>
          <w:sz w:val="24"/>
          <w:szCs w:val="24"/>
          <w:bdr w:val="none" w:sz="0" w:space="0" w:color="auto" w:frame="1"/>
        </w:rPr>
        <w:t xml:space="preserve">Canadian Journal of Economics </w:t>
      </w:r>
      <w:r w:rsidRPr="003627E4">
        <w:rPr>
          <w:rFonts w:ascii="Arial" w:eastAsia="Times New Roman" w:hAnsi="Arial" w:cs="Arial"/>
          <w:color w:val="000000"/>
          <w:sz w:val="24"/>
          <w:szCs w:val="24"/>
        </w:rPr>
        <w:t>7(1): 1-11.</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Buiter</w:t>
      </w:r>
      <w:proofErr w:type="spellEnd"/>
      <w:r w:rsidRPr="003627E4">
        <w:rPr>
          <w:rFonts w:ascii="Arial" w:eastAsia="Times New Roman" w:hAnsi="Arial" w:cs="Arial"/>
          <w:color w:val="000000"/>
          <w:sz w:val="24"/>
          <w:szCs w:val="24"/>
        </w:rPr>
        <w:t>, W H (2017), “Exchange rate implications of border-tax adjustment neutrality”, VoxEU.org, 22 March.</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Diamond, P A and J A </w:t>
      </w:r>
      <w:proofErr w:type="spellStart"/>
      <w:r w:rsidRPr="003627E4">
        <w:rPr>
          <w:rFonts w:ascii="Arial" w:eastAsia="Times New Roman" w:hAnsi="Arial" w:cs="Arial"/>
          <w:color w:val="000000"/>
          <w:sz w:val="24"/>
          <w:szCs w:val="24"/>
        </w:rPr>
        <w:t>Mirrlees</w:t>
      </w:r>
      <w:proofErr w:type="spellEnd"/>
      <w:r w:rsidRPr="003627E4">
        <w:rPr>
          <w:rFonts w:ascii="Arial" w:eastAsia="Times New Roman" w:hAnsi="Arial" w:cs="Arial"/>
          <w:color w:val="000000"/>
          <w:sz w:val="24"/>
          <w:szCs w:val="24"/>
        </w:rPr>
        <w:t xml:space="preserve"> (1971), “Optimal taxation and public production”, </w:t>
      </w:r>
      <w:r w:rsidRPr="003627E4">
        <w:rPr>
          <w:rFonts w:ascii="Arial" w:eastAsia="Times New Roman" w:hAnsi="Arial" w:cs="Arial"/>
          <w:i/>
          <w:iCs/>
          <w:color w:val="000000"/>
          <w:sz w:val="24"/>
          <w:szCs w:val="24"/>
          <w:bdr w:val="none" w:sz="0" w:space="0" w:color="auto" w:frame="1"/>
        </w:rPr>
        <w:t>American Economic Review</w:t>
      </w:r>
      <w:r w:rsidRPr="003627E4">
        <w:rPr>
          <w:rFonts w:ascii="Arial" w:eastAsia="Times New Roman" w:hAnsi="Arial" w:cs="Arial"/>
          <w:color w:val="000000"/>
          <w:sz w:val="24"/>
          <w:szCs w:val="24"/>
        </w:rPr>
        <w:t xml:space="preserve"> March and June: 8-17 </w:t>
      </w:r>
      <w:proofErr w:type="gramStart"/>
      <w:r w:rsidRPr="003627E4">
        <w:rPr>
          <w:rFonts w:ascii="Arial" w:eastAsia="Times New Roman" w:hAnsi="Arial" w:cs="Arial"/>
          <w:color w:val="000000"/>
          <w:sz w:val="24"/>
          <w:szCs w:val="24"/>
        </w:rPr>
        <w:t>and  261</w:t>
      </w:r>
      <w:proofErr w:type="gramEnd"/>
      <w:r w:rsidRPr="003627E4">
        <w:rPr>
          <w:rFonts w:ascii="Arial" w:eastAsia="Times New Roman" w:hAnsi="Arial" w:cs="Arial"/>
          <w:color w:val="000000"/>
          <w:sz w:val="24"/>
          <w:szCs w:val="24"/>
        </w:rPr>
        <w:t>-178.</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Frenkel</w:t>
      </w:r>
      <w:proofErr w:type="spellEnd"/>
      <w:r w:rsidRPr="003627E4">
        <w:rPr>
          <w:rFonts w:ascii="Arial" w:eastAsia="Times New Roman" w:hAnsi="Arial" w:cs="Arial"/>
          <w:color w:val="000000"/>
          <w:sz w:val="24"/>
          <w:szCs w:val="24"/>
        </w:rPr>
        <w:t>, J A, A Razin and E Sadka (1990), “Basic concepts of international taxation”, NBER, Working paper 3540.</w:t>
      </w:r>
    </w:p>
    <w:p w:rsidR="003627E4" w:rsidRPr="003627E4" w:rsidRDefault="003627E4" w:rsidP="003627E4">
      <w:pPr>
        <w:spacing w:after="0" w:line="480" w:lineRule="auto"/>
        <w:textAlignment w:val="baseline"/>
        <w:rPr>
          <w:rFonts w:ascii="Arial" w:eastAsia="Times New Roman" w:hAnsi="Arial" w:cs="Arial"/>
          <w:color w:val="000000"/>
          <w:sz w:val="24"/>
          <w:szCs w:val="24"/>
        </w:rPr>
      </w:pPr>
      <w:proofErr w:type="spellStart"/>
      <w:r w:rsidRPr="003627E4">
        <w:rPr>
          <w:rFonts w:ascii="Arial" w:eastAsia="Times New Roman" w:hAnsi="Arial" w:cs="Arial"/>
          <w:color w:val="000000"/>
          <w:sz w:val="24"/>
          <w:szCs w:val="24"/>
        </w:rPr>
        <w:t>Frenkel</w:t>
      </w:r>
      <w:proofErr w:type="spellEnd"/>
      <w:r w:rsidRPr="003627E4">
        <w:rPr>
          <w:rFonts w:ascii="Arial" w:eastAsia="Times New Roman" w:hAnsi="Arial" w:cs="Arial"/>
          <w:color w:val="000000"/>
          <w:sz w:val="24"/>
          <w:szCs w:val="24"/>
        </w:rPr>
        <w:t>, J A, A Razin and E Sadka (1991),</w:t>
      </w:r>
      <w:r w:rsidRPr="003627E4">
        <w:rPr>
          <w:rFonts w:ascii="Arial" w:eastAsia="Times New Roman" w:hAnsi="Arial" w:cs="Arial"/>
          <w:i/>
          <w:iCs/>
          <w:color w:val="000000"/>
          <w:sz w:val="24"/>
          <w:szCs w:val="24"/>
          <w:bdr w:val="none" w:sz="0" w:space="0" w:color="auto" w:frame="1"/>
        </w:rPr>
        <w:t xml:space="preserve"> International Taxation in an Integrated World</w:t>
      </w:r>
      <w:r w:rsidRPr="003627E4">
        <w:rPr>
          <w:rFonts w:ascii="Arial" w:eastAsia="Times New Roman" w:hAnsi="Arial" w:cs="Arial"/>
          <w:color w:val="000000"/>
          <w:sz w:val="24"/>
          <w:szCs w:val="24"/>
        </w:rPr>
        <w:t>, MIT Press.</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Lerner, A (1936), “The symmetry between import and export taxes”, </w:t>
      </w:r>
      <w:proofErr w:type="spellStart"/>
      <w:r w:rsidRPr="003627E4">
        <w:rPr>
          <w:rFonts w:ascii="Arial" w:eastAsia="Times New Roman" w:hAnsi="Arial" w:cs="Arial"/>
          <w:color w:val="000000"/>
          <w:sz w:val="24"/>
          <w:szCs w:val="24"/>
        </w:rPr>
        <w:t>Economica</w:t>
      </w:r>
      <w:proofErr w:type="spellEnd"/>
      <w:r w:rsidRPr="003627E4">
        <w:rPr>
          <w:rFonts w:ascii="Arial" w:eastAsia="Times New Roman" w:hAnsi="Arial" w:cs="Arial"/>
          <w:color w:val="000000"/>
          <w:sz w:val="24"/>
          <w:szCs w:val="24"/>
        </w:rPr>
        <w:t xml:space="preserve"> 3: 306-313; also reprinted in R E Caves and H G Johnson (</w:t>
      </w:r>
      <w:proofErr w:type="spellStart"/>
      <w:proofErr w:type="gramStart"/>
      <w:r w:rsidRPr="003627E4">
        <w:rPr>
          <w:rFonts w:ascii="Arial" w:eastAsia="Times New Roman" w:hAnsi="Arial" w:cs="Arial"/>
          <w:color w:val="000000"/>
          <w:sz w:val="24"/>
          <w:szCs w:val="24"/>
        </w:rPr>
        <w:t>eds</w:t>
      </w:r>
      <w:proofErr w:type="spellEnd"/>
      <w:proofErr w:type="gramEnd"/>
      <w:r w:rsidRPr="003627E4">
        <w:rPr>
          <w:rFonts w:ascii="Arial" w:eastAsia="Times New Roman" w:hAnsi="Arial" w:cs="Arial"/>
          <w:color w:val="000000"/>
          <w:sz w:val="24"/>
          <w:szCs w:val="24"/>
        </w:rPr>
        <w:t xml:space="preserve">) (1968), </w:t>
      </w:r>
      <w:r w:rsidRPr="003627E4">
        <w:rPr>
          <w:rFonts w:ascii="Arial" w:eastAsia="Times New Roman" w:hAnsi="Arial" w:cs="Arial"/>
          <w:i/>
          <w:iCs/>
          <w:color w:val="000000"/>
          <w:sz w:val="24"/>
          <w:szCs w:val="24"/>
          <w:bdr w:val="none" w:sz="0" w:space="0" w:color="auto" w:frame="1"/>
        </w:rPr>
        <w:t>Readings in International Economics</w:t>
      </w:r>
      <w:r w:rsidRPr="003627E4">
        <w:rPr>
          <w:rFonts w:ascii="Arial" w:eastAsia="Times New Roman" w:hAnsi="Arial" w:cs="Arial"/>
          <w:color w:val="000000"/>
          <w:sz w:val="24"/>
          <w:szCs w:val="24"/>
        </w:rPr>
        <w:t>, Allen and Unwin, London: 197-203.</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lastRenderedPageBreak/>
        <w:t xml:space="preserve">Razin, A and L E O Svensson (1983), “Trade taxes and the current account”, </w:t>
      </w:r>
      <w:r w:rsidRPr="003627E4">
        <w:rPr>
          <w:rFonts w:ascii="Arial" w:eastAsia="Times New Roman" w:hAnsi="Arial" w:cs="Arial"/>
          <w:i/>
          <w:iCs/>
          <w:color w:val="000000"/>
          <w:sz w:val="24"/>
          <w:szCs w:val="24"/>
          <w:bdr w:val="none" w:sz="0" w:space="0" w:color="auto" w:frame="1"/>
        </w:rPr>
        <w:t>Economic Letters</w:t>
      </w:r>
      <w:r w:rsidRPr="003627E4">
        <w:rPr>
          <w:rFonts w:ascii="Arial" w:eastAsia="Times New Roman" w:hAnsi="Arial" w:cs="Arial"/>
          <w:color w:val="000000"/>
          <w:sz w:val="24"/>
          <w:szCs w:val="24"/>
        </w:rPr>
        <w:t xml:space="preserve"> 13: 55–57.</w:t>
      </w:r>
    </w:p>
    <w:p w:rsidR="003627E4" w:rsidRPr="003627E4" w:rsidRDefault="003627E4" w:rsidP="003627E4">
      <w:pPr>
        <w:spacing w:after="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Razin, A (2018), </w:t>
      </w:r>
      <w:r w:rsidRPr="003627E4">
        <w:rPr>
          <w:rFonts w:ascii="Arial" w:eastAsia="Times New Roman" w:hAnsi="Arial" w:cs="Arial"/>
          <w:i/>
          <w:iCs/>
          <w:color w:val="000000"/>
          <w:sz w:val="24"/>
          <w:szCs w:val="24"/>
          <w:bdr w:val="none" w:sz="0" w:space="0" w:color="auto" w:frame="1"/>
        </w:rPr>
        <w:t>Israel and the World Economy: The power of Globalization,</w:t>
      </w:r>
      <w:r w:rsidRPr="003627E4">
        <w:rPr>
          <w:rFonts w:ascii="Arial" w:eastAsia="Times New Roman" w:hAnsi="Arial" w:cs="Arial"/>
          <w:color w:val="000000"/>
          <w:sz w:val="24"/>
          <w:szCs w:val="24"/>
        </w:rPr>
        <w:t xml:space="preserve"> MIT Press.</w:t>
      </w:r>
    </w:p>
    <w:p w:rsidR="003627E4" w:rsidRPr="003627E4" w:rsidRDefault="003627E4" w:rsidP="003627E4">
      <w:pPr>
        <w:spacing w:before="60" w:after="0" w:line="480" w:lineRule="auto"/>
        <w:textAlignment w:val="baseline"/>
        <w:outlineLvl w:val="1"/>
        <w:rPr>
          <w:rFonts w:ascii="Arial" w:eastAsia="Times New Roman" w:hAnsi="Arial" w:cs="Arial"/>
          <w:b/>
          <w:bCs/>
          <w:color w:val="085A92"/>
          <w:sz w:val="29"/>
          <w:szCs w:val="29"/>
        </w:rPr>
      </w:pPr>
      <w:r w:rsidRPr="003627E4">
        <w:rPr>
          <w:rFonts w:ascii="Arial" w:eastAsia="Times New Roman" w:hAnsi="Arial" w:cs="Arial"/>
          <w:b/>
          <w:bCs/>
          <w:color w:val="085A92"/>
          <w:sz w:val="29"/>
          <w:szCs w:val="29"/>
        </w:rPr>
        <w:t>Endnotes</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[1] Early on, </w:t>
      </w:r>
      <w:proofErr w:type="spellStart"/>
      <w:r w:rsidRPr="003627E4">
        <w:rPr>
          <w:rFonts w:ascii="Arial" w:eastAsia="Times New Roman" w:hAnsi="Arial" w:cs="Arial"/>
          <w:color w:val="000000"/>
          <w:sz w:val="24"/>
          <w:szCs w:val="24"/>
        </w:rPr>
        <w:t>Berglas</w:t>
      </w:r>
      <w:proofErr w:type="spellEnd"/>
      <w:r w:rsidRPr="003627E4">
        <w:rPr>
          <w:rFonts w:ascii="Arial" w:eastAsia="Times New Roman" w:hAnsi="Arial" w:cs="Arial"/>
          <w:color w:val="000000"/>
          <w:sz w:val="24"/>
          <w:szCs w:val="24"/>
        </w:rPr>
        <w:t xml:space="preserve"> (1974) and recently </w:t>
      </w:r>
      <w:proofErr w:type="spellStart"/>
      <w:r w:rsidRPr="003627E4">
        <w:rPr>
          <w:rFonts w:ascii="Arial" w:eastAsia="Times New Roman" w:hAnsi="Arial" w:cs="Arial"/>
          <w:color w:val="000000"/>
          <w:sz w:val="24"/>
          <w:szCs w:val="24"/>
        </w:rPr>
        <w:t>Buiter</w:t>
      </w:r>
      <w:proofErr w:type="spellEnd"/>
      <w:r w:rsidRPr="003627E4">
        <w:rPr>
          <w:rFonts w:ascii="Arial" w:eastAsia="Times New Roman" w:hAnsi="Arial" w:cs="Arial"/>
          <w:color w:val="000000"/>
          <w:sz w:val="24"/>
          <w:szCs w:val="24"/>
        </w:rPr>
        <w:t xml:space="preserve"> (2017) </w:t>
      </w:r>
      <w:proofErr w:type="spellStart"/>
      <w:r w:rsidRPr="003627E4">
        <w:rPr>
          <w:rFonts w:ascii="Arial" w:eastAsia="Times New Roman" w:hAnsi="Arial" w:cs="Arial"/>
          <w:color w:val="000000"/>
          <w:sz w:val="24"/>
          <w:szCs w:val="24"/>
        </w:rPr>
        <w:t>analyse</w:t>
      </w:r>
      <w:proofErr w:type="spellEnd"/>
      <w:r w:rsidRPr="003627E4">
        <w:rPr>
          <w:rFonts w:ascii="Arial" w:eastAsia="Times New Roman" w:hAnsi="Arial" w:cs="Arial"/>
          <w:color w:val="000000"/>
          <w:sz w:val="24"/>
          <w:szCs w:val="24"/>
        </w:rPr>
        <w:t xml:space="preserve"> border tax adjustments in the context of sticky prices.</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[2] See a detailed analysis of the plan in </w:t>
      </w:r>
      <w:proofErr w:type="spellStart"/>
      <w:r w:rsidRPr="003627E4">
        <w:rPr>
          <w:rFonts w:ascii="Arial" w:eastAsia="Times New Roman" w:hAnsi="Arial" w:cs="Arial"/>
          <w:color w:val="000000"/>
          <w:sz w:val="24"/>
          <w:szCs w:val="24"/>
        </w:rPr>
        <w:t>Auerbach</w:t>
      </w:r>
      <w:proofErr w:type="spellEnd"/>
      <w:r w:rsidRPr="003627E4">
        <w:rPr>
          <w:rFonts w:ascii="Arial" w:eastAsia="Times New Roman" w:hAnsi="Arial" w:cs="Arial"/>
          <w:color w:val="000000"/>
          <w:sz w:val="24"/>
          <w:szCs w:val="24"/>
        </w:rPr>
        <w:t xml:space="preserve"> (2017) and </w:t>
      </w:r>
      <w:proofErr w:type="spellStart"/>
      <w:r w:rsidRPr="003627E4">
        <w:rPr>
          <w:rFonts w:ascii="Arial" w:eastAsia="Times New Roman" w:hAnsi="Arial" w:cs="Arial"/>
          <w:color w:val="000000"/>
          <w:sz w:val="24"/>
          <w:szCs w:val="24"/>
        </w:rPr>
        <w:t>Auerbach</w:t>
      </w:r>
      <w:proofErr w:type="spellEnd"/>
      <w:r w:rsidRPr="003627E4">
        <w:rPr>
          <w:rFonts w:ascii="Arial" w:eastAsia="Times New Roman" w:hAnsi="Arial" w:cs="Arial"/>
          <w:color w:val="000000"/>
          <w:sz w:val="24"/>
          <w:szCs w:val="24"/>
        </w:rPr>
        <w:t xml:space="preserve"> et al. (2017).</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[3] See </w:t>
      </w:r>
      <w:proofErr w:type="spellStart"/>
      <w:r w:rsidRPr="003627E4">
        <w:rPr>
          <w:rFonts w:ascii="Arial" w:eastAsia="Times New Roman" w:hAnsi="Arial" w:cs="Arial"/>
          <w:color w:val="000000"/>
          <w:sz w:val="24"/>
          <w:szCs w:val="24"/>
        </w:rPr>
        <w:t>Frenkel</w:t>
      </w:r>
      <w:proofErr w:type="spellEnd"/>
      <w:r w:rsidRPr="003627E4">
        <w:rPr>
          <w:rFonts w:ascii="Arial" w:eastAsia="Times New Roman" w:hAnsi="Arial" w:cs="Arial"/>
          <w:color w:val="000000"/>
          <w:sz w:val="24"/>
          <w:szCs w:val="24"/>
        </w:rPr>
        <w:t xml:space="preserve"> et al. (1990, 1991) for an analysis of the basic principles of international taxation.</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[4] This specification assumes for simplicity that capital does not depreciate.</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 xml:space="preserve">[5] The neutrality of border tax adjustment holds also under </w:t>
      </w:r>
      <w:proofErr w:type="gramStart"/>
      <w:r w:rsidRPr="003627E4">
        <w:rPr>
          <w:rFonts w:ascii="Arial" w:eastAsia="Times New Roman" w:hAnsi="Arial" w:cs="Arial"/>
          <w:color w:val="000000"/>
          <w:sz w:val="24"/>
          <w:szCs w:val="24"/>
        </w:rPr>
        <w:t>source-based taxation, and when there are non-traded goods</w:t>
      </w:r>
      <w:proofErr w:type="gramEnd"/>
      <w:r w:rsidRPr="003627E4">
        <w:rPr>
          <w:rFonts w:ascii="Arial" w:eastAsia="Times New Roman" w:hAnsi="Arial" w:cs="Arial"/>
          <w:color w:val="000000"/>
          <w:sz w:val="24"/>
          <w:szCs w:val="24"/>
        </w:rPr>
        <w:t>.</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proofErr w:type="gramStart"/>
      <w:r w:rsidRPr="003627E4">
        <w:rPr>
          <w:rFonts w:ascii="Arial" w:eastAsia="Times New Roman" w:hAnsi="Arial" w:cs="Arial"/>
          <w:color w:val="000000"/>
          <w:sz w:val="24"/>
          <w:szCs w:val="24"/>
        </w:rPr>
        <w:t xml:space="preserve">[6] Israel’s </w:t>
      </w:r>
      <w:proofErr w:type="spellStart"/>
      <w:r w:rsidRPr="003627E4">
        <w:rPr>
          <w:rFonts w:ascii="Arial" w:eastAsia="Times New Roman" w:hAnsi="Arial" w:cs="Arial"/>
          <w:color w:val="000000"/>
          <w:sz w:val="24"/>
          <w:szCs w:val="24"/>
        </w:rPr>
        <w:t>globalisation</w:t>
      </w:r>
      <w:proofErr w:type="spellEnd"/>
      <w:r w:rsidRPr="003627E4">
        <w:rPr>
          <w:rFonts w:ascii="Arial" w:eastAsia="Times New Roman" w:hAnsi="Arial" w:cs="Arial"/>
          <w:color w:val="000000"/>
          <w:sz w:val="24"/>
          <w:szCs w:val="24"/>
        </w:rPr>
        <w:t xml:space="preserve"> process culminated in 2010 with the joining of the OECD group</w:t>
      </w:r>
      <w:proofErr w:type="gramEnd"/>
      <w:r w:rsidRPr="003627E4">
        <w:rPr>
          <w:rFonts w:ascii="Arial" w:eastAsia="Times New Roman" w:hAnsi="Arial" w:cs="Arial"/>
          <w:color w:val="000000"/>
          <w:sz w:val="24"/>
          <w:szCs w:val="24"/>
        </w:rPr>
        <w:t xml:space="preserve">, </w:t>
      </w:r>
      <w:proofErr w:type="gramStart"/>
      <w:r w:rsidRPr="003627E4">
        <w:rPr>
          <w:rFonts w:ascii="Arial" w:eastAsia="Times New Roman" w:hAnsi="Arial" w:cs="Arial"/>
          <w:color w:val="000000"/>
          <w:sz w:val="24"/>
          <w:szCs w:val="24"/>
        </w:rPr>
        <w:t>see Razin (2018)</w:t>
      </w:r>
      <w:proofErr w:type="gramEnd"/>
      <w:r w:rsidRPr="003627E4">
        <w:rPr>
          <w:rFonts w:ascii="Arial" w:eastAsia="Times New Roman" w:hAnsi="Arial" w:cs="Arial"/>
          <w:color w:val="000000"/>
          <w:sz w:val="24"/>
          <w:szCs w:val="24"/>
        </w:rPr>
        <w:t>.</w:t>
      </w:r>
    </w:p>
    <w:p w:rsidR="003627E4" w:rsidRPr="003627E4" w:rsidRDefault="003627E4" w:rsidP="003627E4">
      <w:pPr>
        <w:spacing w:before="240" w:after="240" w:line="480" w:lineRule="auto"/>
        <w:textAlignment w:val="baseline"/>
        <w:rPr>
          <w:rFonts w:ascii="Arial" w:eastAsia="Times New Roman" w:hAnsi="Arial" w:cs="Arial"/>
          <w:color w:val="000000"/>
          <w:sz w:val="24"/>
          <w:szCs w:val="24"/>
        </w:rPr>
      </w:pPr>
      <w:r w:rsidRPr="003627E4">
        <w:rPr>
          <w:rFonts w:ascii="Arial" w:eastAsia="Times New Roman" w:hAnsi="Arial" w:cs="Arial"/>
          <w:color w:val="000000"/>
          <w:sz w:val="24"/>
          <w:szCs w:val="24"/>
        </w:rPr>
        <w:t>[7] The reader familiar with the public economics literature will undoubtedly realize that this result is a variant of the Diamond-</w:t>
      </w:r>
      <w:proofErr w:type="spellStart"/>
      <w:r w:rsidRPr="003627E4">
        <w:rPr>
          <w:rFonts w:ascii="Arial" w:eastAsia="Times New Roman" w:hAnsi="Arial" w:cs="Arial"/>
          <w:color w:val="000000"/>
          <w:sz w:val="24"/>
          <w:szCs w:val="24"/>
        </w:rPr>
        <w:t>Mirrlees</w:t>
      </w:r>
      <w:proofErr w:type="spellEnd"/>
      <w:r w:rsidRPr="003627E4">
        <w:rPr>
          <w:rFonts w:ascii="Arial" w:eastAsia="Times New Roman" w:hAnsi="Arial" w:cs="Arial"/>
          <w:color w:val="000000"/>
          <w:sz w:val="24"/>
          <w:szCs w:val="24"/>
        </w:rPr>
        <w:t xml:space="preserve"> aggregate production efficiency theorem (1971); see also </w:t>
      </w:r>
      <w:proofErr w:type="spellStart"/>
      <w:r w:rsidRPr="003627E4">
        <w:rPr>
          <w:rFonts w:ascii="Arial" w:eastAsia="Times New Roman" w:hAnsi="Arial" w:cs="Arial"/>
          <w:color w:val="000000"/>
          <w:sz w:val="24"/>
          <w:szCs w:val="24"/>
        </w:rPr>
        <w:t>Frenkel</w:t>
      </w:r>
      <w:proofErr w:type="spellEnd"/>
      <w:r w:rsidRPr="003627E4">
        <w:rPr>
          <w:rFonts w:ascii="Arial" w:eastAsia="Times New Roman" w:hAnsi="Arial" w:cs="Arial"/>
          <w:color w:val="000000"/>
          <w:sz w:val="24"/>
          <w:szCs w:val="24"/>
        </w:rPr>
        <w:t>, Razin and Sadka (1991).</w:t>
      </w:r>
    </w:p>
    <w:p w:rsidR="00B31A3C" w:rsidRDefault="003627E4" w:rsidP="003627E4">
      <w:pPr>
        <w:spacing w:before="240" w:after="240" w:line="480" w:lineRule="auto"/>
        <w:textAlignment w:val="baseline"/>
      </w:pPr>
      <w:r>
        <w:rPr>
          <w:noProof/>
        </w:rPr>
        <w:lastRenderedPageBreak/>
        <w:drawing>
          <wp:inline distT="0" distB="0" distL="0" distR="0" wp14:anchorId="5AB868EC" wp14:editId="0064E254">
            <wp:extent cx="5250180" cy="4480560"/>
            <wp:effectExtent l="0" t="0" r="7620" b="0"/>
            <wp:docPr id="5" name="Picture 5" descr="https://voxeu.org/sites/default/files/image/FromMay2014/razin18dec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xeu.org/sites/default/files/image/FromMay2014/razin18decfi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180" cy="4480560"/>
                    </a:xfrm>
                    <a:prstGeom prst="rect">
                      <a:avLst/>
                    </a:prstGeom>
                    <a:noFill/>
                    <a:ln>
                      <a:noFill/>
                    </a:ln>
                  </pic:spPr>
                </pic:pic>
              </a:graphicData>
            </a:graphic>
          </wp:inline>
        </w:drawing>
      </w:r>
      <w:bookmarkEnd w:id="0"/>
    </w:p>
    <w:sectPr w:rsidR="00B3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A2BB6"/>
    <w:multiLevelType w:val="multilevel"/>
    <w:tmpl w:val="602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E4"/>
    <w:rsid w:val="003627E4"/>
    <w:rsid w:val="00B31A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BE0F-6BC6-414D-BEBE-B10E9B1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7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385">
      <w:bodyDiv w:val="1"/>
      <w:marLeft w:val="0"/>
      <w:marRight w:val="0"/>
      <w:marTop w:val="0"/>
      <w:marBottom w:val="0"/>
      <w:divBdr>
        <w:top w:val="none" w:sz="0" w:space="0" w:color="auto"/>
        <w:left w:val="none" w:sz="0" w:space="0" w:color="auto"/>
        <w:bottom w:val="none" w:sz="0" w:space="0" w:color="auto"/>
        <w:right w:val="none" w:sz="0" w:space="0" w:color="auto"/>
      </w:divBdr>
    </w:div>
    <w:div w:id="1135951592">
      <w:bodyDiv w:val="1"/>
      <w:marLeft w:val="0"/>
      <w:marRight w:val="0"/>
      <w:marTop w:val="0"/>
      <w:marBottom w:val="0"/>
      <w:divBdr>
        <w:top w:val="none" w:sz="0" w:space="0" w:color="auto"/>
        <w:left w:val="none" w:sz="0" w:space="0" w:color="auto"/>
        <w:bottom w:val="none" w:sz="0" w:space="0" w:color="auto"/>
        <w:right w:val="none" w:sz="0" w:space="0" w:color="auto"/>
      </w:divBdr>
      <w:divsChild>
        <w:div w:id="534273141">
          <w:marLeft w:val="0"/>
          <w:marRight w:val="0"/>
          <w:marTop w:val="0"/>
          <w:marBottom w:val="0"/>
          <w:divBdr>
            <w:top w:val="single" w:sz="6" w:space="3" w:color="CCCCCC"/>
            <w:left w:val="none" w:sz="0" w:space="0" w:color="auto"/>
            <w:bottom w:val="single" w:sz="6" w:space="3" w:color="CCCCCC"/>
            <w:right w:val="none" w:sz="0" w:space="0" w:color="auto"/>
          </w:divBdr>
          <w:divsChild>
            <w:div w:id="1967542295">
              <w:marLeft w:val="0"/>
              <w:marRight w:val="0"/>
              <w:marTop w:val="135"/>
              <w:marBottom w:val="120"/>
              <w:divBdr>
                <w:top w:val="none" w:sz="0" w:space="0" w:color="auto"/>
                <w:left w:val="none" w:sz="0" w:space="0" w:color="auto"/>
                <w:bottom w:val="none" w:sz="0" w:space="0" w:color="auto"/>
                <w:right w:val="none" w:sz="0" w:space="0" w:color="auto"/>
              </w:divBdr>
              <w:divsChild>
                <w:div w:id="611209842">
                  <w:marLeft w:val="0"/>
                  <w:marRight w:val="0"/>
                  <w:marTop w:val="0"/>
                  <w:marBottom w:val="0"/>
                  <w:divBdr>
                    <w:top w:val="none" w:sz="0" w:space="0" w:color="auto"/>
                    <w:left w:val="none" w:sz="0" w:space="0" w:color="auto"/>
                    <w:bottom w:val="none" w:sz="0" w:space="0" w:color="auto"/>
                    <w:right w:val="none" w:sz="0" w:space="0" w:color="auto"/>
                  </w:divBdr>
                </w:div>
              </w:divsChild>
            </w:div>
            <w:div w:id="576138677">
              <w:marLeft w:val="0"/>
              <w:marRight w:val="0"/>
              <w:marTop w:val="195"/>
              <w:marBottom w:val="0"/>
              <w:divBdr>
                <w:top w:val="none" w:sz="0" w:space="0" w:color="auto"/>
                <w:left w:val="none" w:sz="0" w:space="0" w:color="auto"/>
                <w:bottom w:val="none" w:sz="0" w:space="0" w:color="auto"/>
                <w:right w:val="none" w:sz="0" w:space="0" w:color="auto"/>
              </w:divBdr>
            </w:div>
          </w:divsChild>
        </w:div>
        <w:div w:id="2129620911">
          <w:marLeft w:val="150"/>
          <w:marRight w:val="0"/>
          <w:marTop w:val="180"/>
          <w:marBottom w:val="150"/>
          <w:divBdr>
            <w:top w:val="none" w:sz="0" w:space="0" w:color="auto"/>
            <w:left w:val="none" w:sz="0" w:space="0" w:color="auto"/>
            <w:bottom w:val="single" w:sz="6" w:space="0" w:color="CCCCCC"/>
            <w:right w:val="none" w:sz="0" w:space="0" w:color="auto"/>
          </w:divBdr>
          <w:divsChild>
            <w:div w:id="190268457">
              <w:marLeft w:val="0"/>
              <w:marRight w:val="0"/>
              <w:marTop w:val="0"/>
              <w:marBottom w:val="0"/>
              <w:divBdr>
                <w:top w:val="none" w:sz="0" w:space="0" w:color="auto"/>
                <w:left w:val="none" w:sz="0" w:space="0" w:color="auto"/>
                <w:bottom w:val="none" w:sz="0" w:space="0" w:color="auto"/>
                <w:right w:val="none" w:sz="0" w:space="0" w:color="auto"/>
              </w:divBdr>
              <w:divsChild>
                <w:div w:id="362903659">
                  <w:marLeft w:val="0"/>
                  <w:marRight w:val="0"/>
                  <w:marTop w:val="0"/>
                  <w:marBottom w:val="0"/>
                  <w:divBdr>
                    <w:top w:val="none" w:sz="0" w:space="0" w:color="auto"/>
                    <w:left w:val="none" w:sz="0" w:space="0" w:color="auto"/>
                    <w:bottom w:val="none" w:sz="0" w:space="0" w:color="auto"/>
                    <w:right w:val="none" w:sz="0" w:space="0" w:color="auto"/>
                  </w:divBdr>
                </w:div>
                <w:div w:id="876237780">
                  <w:marLeft w:val="0"/>
                  <w:marRight w:val="0"/>
                  <w:marTop w:val="0"/>
                  <w:marBottom w:val="0"/>
                  <w:divBdr>
                    <w:top w:val="none" w:sz="0" w:space="0" w:color="auto"/>
                    <w:left w:val="none" w:sz="0" w:space="0" w:color="auto"/>
                    <w:bottom w:val="none" w:sz="0" w:space="0" w:color="auto"/>
                    <w:right w:val="none" w:sz="0" w:space="0" w:color="auto"/>
                  </w:divBdr>
                  <w:divsChild>
                    <w:div w:id="635141203">
                      <w:marLeft w:val="0"/>
                      <w:marRight w:val="0"/>
                      <w:marTop w:val="0"/>
                      <w:marBottom w:val="0"/>
                      <w:divBdr>
                        <w:top w:val="none" w:sz="0" w:space="0" w:color="auto"/>
                        <w:left w:val="none" w:sz="0" w:space="0" w:color="auto"/>
                        <w:bottom w:val="none" w:sz="0" w:space="0" w:color="auto"/>
                        <w:right w:val="none" w:sz="0" w:space="0" w:color="auto"/>
                      </w:divBdr>
                      <w:divsChild>
                        <w:div w:id="1127238964">
                          <w:marLeft w:val="0"/>
                          <w:marRight w:val="0"/>
                          <w:marTop w:val="0"/>
                          <w:marBottom w:val="0"/>
                          <w:divBdr>
                            <w:top w:val="none" w:sz="0" w:space="0" w:color="auto"/>
                            <w:left w:val="none" w:sz="0" w:space="0" w:color="auto"/>
                            <w:bottom w:val="none" w:sz="0" w:space="0" w:color="auto"/>
                            <w:right w:val="none" w:sz="0" w:space="0" w:color="auto"/>
                          </w:divBdr>
                        </w:div>
                        <w:div w:id="2098356514">
                          <w:marLeft w:val="0"/>
                          <w:marRight w:val="0"/>
                          <w:marTop w:val="0"/>
                          <w:marBottom w:val="0"/>
                          <w:divBdr>
                            <w:top w:val="none" w:sz="0" w:space="0" w:color="auto"/>
                            <w:left w:val="none" w:sz="0" w:space="0" w:color="auto"/>
                            <w:bottom w:val="none" w:sz="0" w:space="0" w:color="auto"/>
                            <w:right w:val="none" w:sz="0" w:space="0" w:color="auto"/>
                          </w:divBdr>
                          <w:divsChild>
                            <w:div w:id="1921215685">
                              <w:marLeft w:val="0"/>
                              <w:marRight w:val="0"/>
                              <w:marTop w:val="0"/>
                              <w:marBottom w:val="0"/>
                              <w:divBdr>
                                <w:top w:val="none" w:sz="0" w:space="0" w:color="auto"/>
                                <w:left w:val="none" w:sz="0" w:space="0" w:color="auto"/>
                                <w:bottom w:val="none" w:sz="0" w:space="0" w:color="auto"/>
                                <w:right w:val="none" w:sz="0" w:space="0" w:color="auto"/>
                              </w:divBdr>
                            </w:div>
                          </w:divsChild>
                        </w:div>
                        <w:div w:id="2130278938">
                          <w:marLeft w:val="0"/>
                          <w:marRight w:val="0"/>
                          <w:marTop w:val="0"/>
                          <w:marBottom w:val="0"/>
                          <w:divBdr>
                            <w:top w:val="none" w:sz="0" w:space="0" w:color="auto"/>
                            <w:left w:val="none" w:sz="0" w:space="0" w:color="auto"/>
                            <w:bottom w:val="none" w:sz="0" w:space="0" w:color="auto"/>
                            <w:right w:val="none" w:sz="0" w:space="0" w:color="auto"/>
                          </w:divBdr>
                        </w:div>
                        <w:div w:id="1945454037">
                          <w:marLeft w:val="0"/>
                          <w:marRight w:val="0"/>
                          <w:marTop w:val="0"/>
                          <w:marBottom w:val="0"/>
                          <w:divBdr>
                            <w:top w:val="none" w:sz="0" w:space="0" w:color="auto"/>
                            <w:left w:val="none" w:sz="0" w:space="0" w:color="auto"/>
                            <w:bottom w:val="none" w:sz="0" w:space="0" w:color="auto"/>
                            <w:right w:val="none" w:sz="0" w:space="0" w:color="auto"/>
                          </w:divBdr>
                          <w:divsChild>
                            <w:div w:id="1792167614">
                              <w:marLeft w:val="0"/>
                              <w:marRight w:val="0"/>
                              <w:marTop w:val="0"/>
                              <w:marBottom w:val="0"/>
                              <w:divBdr>
                                <w:top w:val="none" w:sz="0" w:space="0" w:color="auto"/>
                                <w:left w:val="none" w:sz="0" w:space="0" w:color="auto"/>
                                <w:bottom w:val="none" w:sz="0" w:space="0" w:color="auto"/>
                                <w:right w:val="none" w:sz="0" w:space="0" w:color="auto"/>
                              </w:divBdr>
                            </w:div>
                          </w:divsChild>
                        </w:div>
                        <w:div w:id="283774264">
                          <w:marLeft w:val="0"/>
                          <w:marRight w:val="0"/>
                          <w:marTop w:val="0"/>
                          <w:marBottom w:val="0"/>
                          <w:divBdr>
                            <w:top w:val="none" w:sz="0" w:space="0" w:color="auto"/>
                            <w:left w:val="none" w:sz="0" w:space="0" w:color="auto"/>
                            <w:bottom w:val="none" w:sz="0" w:space="0" w:color="auto"/>
                            <w:right w:val="none" w:sz="0" w:space="0" w:color="auto"/>
                          </w:divBdr>
                        </w:div>
                        <w:div w:id="1411611063">
                          <w:marLeft w:val="0"/>
                          <w:marRight w:val="0"/>
                          <w:marTop w:val="0"/>
                          <w:marBottom w:val="0"/>
                          <w:divBdr>
                            <w:top w:val="none" w:sz="0" w:space="0" w:color="auto"/>
                            <w:left w:val="none" w:sz="0" w:space="0" w:color="auto"/>
                            <w:bottom w:val="none" w:sz="0" w:space="0" w:color="auto"/>
                            <w:right w:val="none" w:sz="0" w:space="0" w:color="auto"/>
                          </w:divBdr>
                          <w:divsChild>
                            <w:div w:id="496308477">
                              <w:marLeft w:val="0"/>
                              <w:marRight w:val="0"/>
                              <w:marTop w:val="0"/>
                              <w:marBottom w:val="0"/>
                              <w:divBdr>
                                <w:top w:val="none" w:sz="0" w:space="0" w:color="auto"/>
                                <w:left w:val="none" w:sz="0" w:space="0" w:color="auto"/>
                                <w:bottom w:val="none" w:sz="0" w:space="0" w:color="auto"/>
                                <w:right w:val="none" w:sz="0" w:space="0" w:color="auto"/>
                              </w:divBdr>
                            </w:div>
                          </w:divsChild>
                        </w:div>
                        <w:div w:id="289557262">
                          <w:marLeft w:val="0"/>
                          <w:marRight w:val="0"/>
                          <w:marTop w:val="0"/>
                          <w:marBottom w:val="0"/>
                          <w:divBdr>
                            <w:top w:val="none" w:sz="0" w:space="0" w:color="auto"/>
                            <w:left w:val="none" w:sz="0" w:space="0" w:color="auto"/>
                            <w:bottom w:val="none" w:sz="0" w:space="0" w:color="auto"/>
                            <w:right w:val="none" w:sz="0" w:space="0" w:color="auto"/>
                          </w:divBdr>
                        </w:div>
                        <w:div w:id="2107992709">
                          <w:marLeft w:val="0"/>
                          <w:marRight w:val="0"/>
                          <w:marTop w:val="0"/>
                          <w:marBottom w:val="0"/>
                          <w:divBdr>
                            <w:top w:val="none" w:sz="0" w:space="0" w:color="auto"/>
                            <w:left w:val="none" w:sz="0" w:space="0" w:color="auto"/>
                            <w:bottom w:val="none" w:sz="0" w:space="0" w:color="auto"/>
                            <w:right w:val="none" w:sz="0" w:space="0" w:color="auto"/>
                          </w:divBdr>
                          <w:divsChild>
                            <w:div w:id="1826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41529">
      <w:bodyDiv w:val="1"/>
      <w:marLeft w:val="0"/>
      <w:marRight w:val="0"/>
      <w:marTop w:val="0"/>
      <w:marBottom w:val="0"/>
      <w:divBdr>
        <w:top w:val="none" w:sz="0" w:space="0" w:color="auto"/>
        <w:left w:val="none" w:sz="0" w:space="0" w:color="auto"/>
        <w:bottom w:val="none" w:sz="0" w:space="0" w:color="auto"/>
        <w:right w:val="none" w:sz="0" w:space="0" w:color="auto"/>
      </w:divBdr>
    </w:div>
    <w:div w:id="16999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assafr</dc:creator>
  <cp:keywords/>
  <dc:description/>
  <cp:lastModifiedBy>assafr</cp:lastModifiedBy>
  <cp:revision>1</cp:revision>
  <dcterms:created xsi:type="dcterms:W3CDTF">2018-11-13T09:08:00Z</dcterms:created>
  <dcterms:modified xsi:type="dcterms:W3CDTF">2018-11-13T09:12:00Z</dcterms:modified>
</cp:coreProperties>
</file>